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EF7" w:rsidRPr="00501EF7" w:rsidRDefault="00501EF7" w:rsidP="00501EF7">
      <w:pPr>
        <w:spacing w:line="276" w:lineRule="auto"/>
        <w:ind w:right="180"/>
        <w:jc w:val="center"/>
        <w:rPr>
          <w:rFonts w:ascii="Trebuchet MS" w:hAnsi="Trebuchet MS"/>
          <w:b/>
          <w:sz w:val="22"/>
          <w:szCs w:val="22"/>
        </w:rPr>
      </w:pPr>
    </w:p>
    <w:p w:rsidR="00501EF7" w:rsidRPr="00F46C4C" w:rsidRDefault="00501EF7" w:rsidP="00F46C4C">
      <w:pPr>
        <w:spacing w:line="276" w:lineRule="auto"/>
        <w:ind w:right="181"/>
        <w:jc w:val="center"/>
        <w:rPr>
          <w:rFonts w:ascii="Trebuchet MS" w:hAnsi="Trebuchet MS"/>
          <w:b/>
          <w:sz w:val="22"/>
          <w:szCs w:val="22"/>
        </w:rPr>
      </w:pPr>
      <w:r w:rsidRPr="00501EF7">
        <w:rPr>
          <w:rFonts w:ascii="Trebuchet MS" w:hAnsi="Trebuchet MS"/>
          <w:b/>
          <w:sz w:val="22"/>
          <w:szCs w:val="22"/>
        </w:rPr>
        <w:t>NOTĂ DE FUNDAMENTARE</w:t>
      </w:r>
    </w:p>
    <w:tbl>
      <w:tblPr>
        <w:tblpPr w:leftFromText="180" w:rightFromText="180" w:vertAnchor="page" w:horzAnchor="margin" w:tblpY="1800"/>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41"/>
        <w:gridCol w:w="2518"/>
        <w:gridCol w:w="1044"/>
        <w:gridCol w:w="972"/>
        <w:gridCol w:w="972"/>
        <w:gridCol w:w="972"/>
        <w:gridCol w:w="974"/>
      </w:tblGrid>
      <w:tr w:rsidR="00501EF7" w:rsidRPr="00501EF7" w:rsidTr="00292E7A">
        <w:tc>
          <w:tcPr>
            <w:tcW w:w="9828" w:type="dxa"/>
            <w:gridSpan w:val="8"/>
            <w:shd w:val="clear" w:color="auto" w:fill="auto"/>
          </w:tcPr>
          <w:p w:rsidR="00501EF7" w:rsidRPr="00501EF7" w:rsidRDefault="002C69F1" w:rsidP="00292E7A">
            <w:pPr>
              <w:spacing w:line="276" w:lineRule="auto"/>
              <w:jc w:val="center"/>
              <w:rPr>
                <w:rFonts w:ascii="Trebuchet MS" w:hAnsi="Trebuchet MS"/>
                <w:b/>
                <w:sz w:val="22"/>
                <w:szCs w:val="22"/>
              </w:rPr>
            </w:pPr>
            <w:r w:rsidRPr="00501EF7">
              <w:rPr>
                <w:rFonts w:ascii="Trebuchet MS" w:hAnsi="Trebuchet MS"/>
                <w:b/>
                <w:sz w:val="22"/>
                <w:szCs w:val="22"/>
              </w:rPr>
              <w:t>Secțiunea</w:t>
            </w:r>
            <w:r w:rsidR="00501EF7" w:rsidRPr="00501EF7">
              <w:rPr>
                <w:rFonts w:ascii="Trebuchet MS" w:hAnsi="Trebuchet MS"/>
                <w:b/>
                <w:sz w:val="22"/>
                <w:szCs w:val="22"/>
              </w:rPr>
              <w:t xml:space="preserve"> 1</w:t>
            </w:r>
          </w:p>
          <w:p w:rsidR="00501EF7" w:rsidRPr="00501EF7" w:rsidRDefault="00501EF7" w:rsidP="00292E7A">
            <w:pPr>
              <w:spacing w:line="276" w:lineRule="auto"/>
              <w:jc w:val="center"/>
              <w:rPr>
                <w:rFonts w:ascii="Trebuchet MS" w:hAnsi="Trebuchet MS"/>
                <w:b/>
                <w:sz w:val="22"/>
                <w:szCs w:val="22"/>
              </w:rPr>
            </w:pPr>
            <w:r w:rsidRPr="00501EF7">
              <w:rPr>
                <w:rFonts w:ascii="Trebuchet MS" w:hAnsi="Trebuchet MS"/>
                <w:b/>
                <w:sz w:val="22"/>
                <w:szCs w:val="22"/>
              </w:rPr>
              <w:t>Titlul proiectului de act normativ</w:t>
            </w:r>
          </w:p>
          <w:p w:rsidR="00501EF7" w:rsidRPr="00501EF7" w:rsidRDefault="00501EF7" w:rsidP="00292E7A">
            <w:pPr>
              <w:spacing w:line="276" w:lineRule="auto"/>
              <w:jc w:val="center"/>
              <w:rPr>
                <w:rFonts w:ascii="Trebuchet MS" w:hAnsi="Trebuchet MS"/>
                <w:b/>
                <w:sz w:val="22"/>
                <w:szCs w:val="22"/>
              </w:rPr>
            </w:pPr>
          </w:p>
          <w:p w:rsidR="00501EF7" w:rsidRPr="00BB155F" w:rsidRDefault="00501EF7" w:rsidP="00292E7A">
            <w:pPr>
              <w:jc w:val="center"/>
              <w:rPr>
                <w:rFonts w:ascii="Trebuchet MS" w:hAnsi="Trebuchet MS"/>
                <w:b/>
              </w:rPr>
            </w:pPr>
            <w:r w:rsidRPr="00BB155F">
              <w:rPr>
                <w:rFonts w:ascii="Trebuchet MS" w:hAnsi="Trebuchet MS"/>
                <w:b/>
              </w:rPr>
              <w:t>Ordonanță de urgență</w:t>
            </w:r>
          </w:p>
          <w:p w:rsidR="00501EF7" w:rsidRPr="00F46C4C" w:rsidRDefault="00F2400E" w:rsidP="00F46C4C">
            <w:pPr>
              <w:jc w:val="center"/>
              <w:rPr>
                <w:rFonts w:ascii="Trebuchet MS" w:eastAsia="Calibri" w:hAnsi="Trebuchet MS"/>
                <w:b/>
                <w:color w:val="000000"/>
              </w:rPr>
            </w:pPr>
            <w:r w:rsidRPr="00BB155F">
              <w:rPr>
                <w:rFonts w:ascii="Trebuchet MS" w:eastAsia="Calibri" w:hAnsi="Trebuchet MS"/>
                <w:b/>
                <w:color w:val="000000"/>
              </w:rPr>
              <w:t xml:space="preserve">privind unele măsuri </w:t>
            </w:r>
            <w:r w:rsidRPr="00BB155F">
              <w:rPr>
                <w:rFonts w:ascii="Trebuchet MS" w:hAnsi="Trebuchet MS"/>
                <w:b/>
              </w:rPr>
              <w:t>pentru asigurarea eficientizării procesului decizional al fondurilor externe nerambursabile destinate dezvoltării regionale în România</w:t>
            </w:r>
          </w:p>
        </w:tc>
      </w:tr>
      <w:tr w:rsidR="00501EF7" w:rsidRPr="00501EF7" w:rsidTr="00292E7A">
        <w:tc>
          <w:tcPr>
            <w:tcW w:w="9828" w:type="dxa"/>
            <w:gridSpan w:val="8"/>
            <w:shd w:val="clear" w:color="auto" w:fill="auto"/>
          </w:tcPr>
          <w:p w:rsidR="00501EF7" w:rsidRPr="00501EF7" w:rsidRDefault="002C69F1" w:rsidP="00292E7A">
            <w:pPr>
              <w:spacing w:line="276" w:lineRule="auto"/>
              <w:jc w:val="center"/>
              <w:rPr>
                <w:rFonts w:ascii="Trebuchet MS" w:hAnsi="Trebuchet MS"/>
                <w:b/>
                <w:sz w:val="22"/>
                <w:szCs w:val="22"/>
              </w:rPr>
            </w:pPr>
            <w:r w:rsidRPr="00501EF7">
              <w:rPr>
                <w:rFonts w:ascii="Trebuchet MS" w:hAnsi="Trebuchet MS"/>
                <w:b/>
                <w:sz w:val="22"/>
                <w:szCs w:val="22"/>
              </w:rPr>
              <w:t>Secțiunea</w:t>
            </w:r>
            <w:r w:rsidR="00501EF7" w:rsidRPr="00501EF7">
              <w:rPr>
                <w:rFonts w:ascii="Trebuchet MS" w:hAnsi="Trebuchet MS"/>
                <w:b/>
                <w:sz w:val="22"/>
                <w:szCs w:val="22"/>
              </w:rPr>
              <w:t xml:space="preserve"> 2</w:t>
            </w:r>
          </w:p>
          <w:p w:rsidR="00501EF7" w:rsidRPr="00501EF7" w:rsidRDefault="00501EF7" w:rsidP="00292E7A">
            <w:pPr>
              <w:spacing w:line="276" w:lineRule="auto"/>
              <w:jc w:val="center"/>
              <w:rPr>
                <w:rFonts w:ascii="Trebuchet MS" w:hAnsi="Trebuchet MS"/>
                <w:b/>
                <w:sz w:val="22"/>
                <w:szCs w:val="22"/>
              </w:rPr>
            </w:pPr>
            <w:r w:rsidRPr="00501EF7">
              <w:rPr>
                <w:rFonts w:ascii="Trebuchet MS" w:hAnsi="Trebuchet MS"/>
                <w:b/>
                <w:sz w:val="22"/>
                <w:szCs w:val="22"/>
              </w:rPr>
              <w:t>Motivul emiterii actului normativ</w:t>
            </w:r>
          </w:p>
        </w:tc>
      </w:tr>
      <w:tr w:rsidR="00501EF7" w:rsidRPr="00501EF7" w:rsidTr="005A7E65">
        <w:trPr>
          <w:trHeight w:val="1120"/>
        </w:trPr>
        <w:tc>
          <w:tcPr>
            <w:tcW w:w="2235" w:type="dxa"/>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t xml:space="preserve">1. Descrierea </w:t>
            </w:r>
            <w:r w:rsidR="002C69F1" w:rsidRPr="00501EF7">
              <w:rPr>
                <w:rFonts w:ascii="Trebuchet MS" w:hAnsi="Trebuchet MS"/>
                <w:sz w:val="22"/>
                <w:szCs w:val="22"/>
              </w:rPr>
              <w:t>situației</w:t>
            </w:r>
            <w:r w:rsidRPr="00501EF7">
              <w:rPr>
                <w:rFonts w:ascii="Trebuchet MS" w:hAnsi="Trebuchet MS"/>
                <w:sz w:val="22"/>
                <w:szCs w:val="22"/>
              </w:rPr>
              <w:t xml:space="preserve"> actuale</w:t>
            </w:r>
          </w:p>
        </w:tc>
        <w:tc>
          <w:tcPr>
            <w:tcW w:w="7593" w:type="dxa"/>
            <w:gridSpan w:val="7"/>
            <w:shd w:val="clear" w:color="auto" w:fill="auto"/>
          </w:tcPr>
          <w:p w:rsidR="00BB155F" w:rsidRDefault="00721526" w:rsidP="00BB155F">
            <w:pPr>
              <w:pStyle w:val="NormalWeb"/>
              <w:spacing w:before="0" w:beforeAutospacing="0" w:after="0" w:afterAutospacing="0"/>
              <w:jc w:val="both"/>
              <w:rPr>
                <w:rFonts w:ascii="Trebuchet MS" w:hAnsi="Trebuchet MS"/>
                <w:sz w:val="22"/>
                <w:szCs w:val="22"/>
                <w:lang w:eastAsia="en-US"/>
              </w:rPr>
            </w:pPr>
            <w:r>
              <w:rPr>
                <w:rFonts w:ascii="Trebuchet MS" w:hAnsi="Trebuchet MS"/>
                <w:sz w:val="22"/>
                <w:szCs w:val="22"/>
                <w:lang w:eastAsia="en-US"/>
              </w:rPr>
              <w:t xml:space="preserve">    </w:t>
            </w:r>
            <w:r w:rsidR="00501EF7" w:rsidRPr="00501EF7">
              <w:rPr>
                <w:rFonts w:ascii="Trebuchet MS" w:hAnsi="Trebuchet MS"/>
                <w:sz w:val="22"/>
                <w:szCs w:val="22"/>
                <w:lang w:eastAsia="en-US"/>
              </w:rPr>
              <w:t>Cadrul instituț</w:t>
            </w:r>
            <w:r w:rsidR="00501EF7" w:rsidRPr="00501EF7">
              <w:rPr>
                <w:rFonts w:ascii="Arial" w:hAnsi="Arial" w:cs="Arial"/>
                <w:sz w:val="22"/>
                <w:szCs w:val="22"/>
                <w:lang w:eastAsia="en-US"/>
              </w:rPr>
              <w:t>i</w:t>
            </w:r>
            <w:r w:rsidR="00501EF7" w:rsidRPr="00501EF7">
              <w:rPr>
                <w:rFonts w:ascii="Trebuchet MS" w:hAnsi="Trebuchet MS"/>
                <w:sz w:val="22"/>
                <w:szCs w:val="22"/>
                <w:lang w:eastAsia="en-US"/>
              </w:rPr>
              <w:t>onal din Româ</w:t>
            </w:r>
            <w:r w:rsidR="00501EF7" w:rsidRPr="00501EF7">
              <w:rPr>
                <w:rFonts w:ascii="Arial" w:hAnsi="Arial" w:cs="Arial"/>
                <w:sz w:val="22"/>
                <w:szCs w:val="22"/>
                <w:lang w:eastAsia="en-US"/>
              </w:rPr>
              <w:t>n</w:t>
            </w:r>
            <w:r w:rsidR="00501EF7" w:rsidRPr="00501EF7">
              <w:rPr>
                <w:rFonts w:ascii="Trebuchet MS" w:hAnsi="Trebuchet MS"/>
                <w:sz w:val="22"/>
                <w:szCs w:val="22"/>
                <w:lang w:eastAsia="en-US"/>
              </w:rPr>
              <w:t xml:space="preserve">ia, aferent perioadei 2014-2020, </w:t>
            </w:r>
            <w:r w:rsidR="00C77FC8">
              <w:rPr>
                <w:rFonts w:ascii="Trebuchet MS" w:hAnsi="Trebuchet MS"/>
                <w:sz w:val="22"/>
                <w:szCs w:val="22"/>
                <w:lang w:eastAsia="en-US"/>
              </w:rPr>
              <w:t xml:space="preserve">este reglementat prin </w:t>
            </w:r>
            <w:r w:rsidR="00C77FC8" w:rsidRPr="00C77FC8">
              <w:rPr>
                <w:rFonts w:ascii="Trebuchet MS" w:hAnsi="Trebuchet MS"/>
                <w:sz w:val="22"/>
                <w:szCs w:val="22"/>
                <w:lang w:eastAsia="en-US"/>
              </w:rPr>
              <w:t>Hotărâre</w:t>
            </w:r>
            <w:r w:rsidR="00C77FC8">
              <w:rPr>
                <w:rFonts w:ascii="Trebuchet MS" w:hAnsi="Trebuchet MS"/>
                <w:sz w:val="22"/>
                <w:szCs w:val="22"/>
                <w:lang w:eastAsia="en-US"/>
              </w:rPr>
              <w:t>a Guvernului</w:t>
            </w:r>
            <w:r w:rsidR="00C77FC8" w:rsidRPr="00C77FC8">
              <w:rPr>
                <w:rFonts w:ascii="Trebuchet MS" w:hAnsi="Trebuchet MS"/>
                <w:sz w:val="22"/>
                <w:szCs w:val="22"/>
                <w:lang w:eastAsia="en-US"/>
              </w:rPr>
              <w:t xml:space="preserve"> </w:t>
            </w:r>
            <w:r w:rsidR="00C77FC8" w:rsidRPr="00BF7D50">
              <w:rPr>
                <w:rFonts w:ascii="Trebuchet MS" w:hAnsi="Trebuchet MS"/>
                <w:sz w:val="22"/>
                <w:szCs w:val="22"/>
                <w:lang w:eastAsia="en-US"/>
              </w:rPr>
              <w:t>nr. 398 din 27 mai 2015</w:t>
            </w:r>
            <w:r w:rsidR="00C77FC8" w:rsidRPr="00C77FC8">
              <w:rPr>
                <w:rFonts w:ascii="Trebuchet MS" w:hAnsi="Trebuchet MS"/>
                <w:i/>
                <w:sz w:val="22"/>
                <w:szCs w:val="22"/>
                <w:lang w:eastAsia="en-US"/>
              </w:rPr>
              <w:t xml:space="preserve"> pentru stabilirea cadrului instituțional de coordonare și gestionare a fondurilor europene structurale și de investiții și pentru asigurarea continuității cadrului instituțional de coordonare și gestionare a instrumentelor structurale 2007-2013</w:t>
            </w:r>
            <w:r w:rsidR="00525DD5">
              <w:rPr>
                <w:rFonts w:ascii="Trebuchet MS" w:hAnsi="Trebuchet MS"/>
                <w:i/>
                <w:sz w:val="22"/>
                <w:szCs w:val="22"/>
                <w:lang w:eastAsia="en-US"/>
              </w:rPr>
              <w:t xml:space="preserve">, </w:t>
            </w:r>
            <w:r w:rsidR="00525DD5" w:rsidRPr="003A1F67">
              <w:rPr>
                <w:rFonts w:ascii="Trebuchet MS" w:hAnsi="Trebuchet MS"/>
                <w:sz w:val="22"/>
                <w:szCs w:val="22"/>
                <w:lang w:eastAsia="en-US"/>
              </w:rPr>
              <w:t>care a prevăzut</w:t>
            </w:r>
            <w:r w:rsidR="00BA0DE8">
              <w:rPr>
                <w:rFonts w:ascii="Trebuchet MS" w:hAnsi="Trebuchet MS"/>
                <w:i/>
                <w:sz w:val="22"/>
                <w:szCs w:val="22"/>
                <w:lang w:eastAsia="en-US"/>
              </w:rPr>
              <w:t xml:space="preserve"> </w:t>
            </w:r>
            <w:r w:rsidR="00C77FC8">
              <w:rPr>
                <w:rFonts w:ascii="Trebuchet MS" w:hAnsi="Trebuchet MS"/>
                <w:sz w:val="22"/>
                <w:szCs w:val="22"/>
                <w:lang w:eastAsia="en-US"/>
              </w:rPr>
              <w:t>calita</w:t>
            </w:r>
            <w:r w:rsidR="008C1103">
              <w:rPr>
                <w:rFonts w:ascii="Trebuchet MS" w:hAnsi="Trebuchet MS"/>
                <w:sz w:val="22"/>
                <w:szCs w:val="22"/>
                <w:lang w:eastAsia="en-US"/>
              </w:rPr>
              <w:t>tea de Au</w:t>
            </w:r>
            <w:r w:rsidR="003A1F67">
              <w:rPr>
                <w:rFonts w:ascii="Trebuchet MS" w:hAnsi="Trebuchet MS"/>
                <w:sz w:val="22"/>
                <w:szCs w:val="22"/>
                <w:lang w:eastAsia="en-US"/>
              </w:rPr>
              <w:t>toritatea de Management, pentru</w:t>
            </w:r>
            <w:r w:rsidR="00501EF7" w:rsidRPr="00501EF7">
              <w:rPr>
                <w:rFonts w:ascii="Trebuchet MS" w:hAnsi="Trebuchet MS"/>
                <w:sz w:val="22"/>
                <w:szCs w:val="22"/>
                <w:lang w:eastAsia="en-US"/>
              </w:rPr>
              <w:t>: Ministerul Dezvoltării Regionale și Administraț</w:t>
            </w:r>
            <w:r w:rsidR="00501EF7" w:rsidRPr="00501EF7">
              <w:rPr>
                <w:rFonts w:ascii="Arial" w:hAnsi="Arial" w:cs="Arial"/>
                <w:sz w:val="22"/>
                <w:szCs w:val="22"/>
                <w:lang w:eastAsia="en-US"/>
              </w:rPr>
              <w:t>i</w:t>
            </w:r>
            <w:r w:rsidR="00501EF7" w:rsidRPr="00501EF7">
              <w:rPr>
                <w:rFonts w:ascii="Trebuchet MS" w:hAnsi="Trebuchet MS"/>
                <w:sz w:val="22"/>
                <w:szCs w:val="22"/>
                <w:lang w:eastAsia="en-US"/>
              </w:rPr>
              <w:t xml:space="preserve">ei Publice – actualul Minister al Lucrărilor Publice, Dezvoltării și Administrației, Ministerul Agriculturii și Dezvoltării Rurale și Ministerul Fondurilor Europene. </w:t>
            </w:r>
          </w:p>
          <w:p w:rsidR="00501EF7" w:rsidRPr="00BB155F" w:rsidRDefault="00BB155F" w:rsidP="00BB155F">
            <w:pPr>
              <w:pStyle w:val="NormalWeb"/>
              <w:spacing w:before="0" w:beforeAutospacing="0" w:after="0" w:afterAutospacing="0"/>
              <w:jc w:val="both"/>
              <w:rPr>
                <w:rFonts w:ascii="Trebuchet MS" w:hAnsi="Trebuchet MS"/>
                <w:sz w:val="22"/>
                <w:szCs w:val="22"/>
                <w:lang w:eastAsia="en-US"/>
              </w:rPr>
            </w:pPr>
            <w:r w:rsidRPr="00AF71F2">
              <w:rPr>
                <w:rFonts w:ascii="Trebuchet MS" w:hAnsi="Trebuchet MS"/>
                <w:color w:val="000000"/>
                <w:sz w:val="22"/>
                <w:szCs w:val="22"/>
                <w:lang w:eastAsia="en-US"/>
              </w:rPr>
              <w:t xml:space="preserve">    </w:t>
            </w:r>
            <w:r w:rsidR="00501EF7" w:rsidRPr="00AF71F2">
              <w:rPr>
                <w:rFonts w:ascii="Trebuchet MS" w:hAnsi="Trebuchet MS"/>
                <w:color w:val="000000"/>
                <w:sz w:val="22"/>
                <w:szCs w:val="22"/>
                <w:lang w:eastAsia="en-US"/>
              </w:rPr>
              <w:t>Ministerul Lucrărilor Publice, Dezvoltării și Administraț</w:t>
            </w:r>
            <w:r w:rsidR="00501EF7" w:rsidRPr="00AF71F2">
              <w:rPr>
                <w:rFonts w:ascii="Arial" w:hAnsi="Arial" w:cs="Arial"/>
                <w:color w:val="000000"/>
                <w:sz w:val="22"/>
                <w:szCs w:val="22"/>
                <w:lang w:eastAsia="en-US"/>
              </w:rPr>
              <w:t>i</w:t>
            </w:r>
            <w:r w:rsidR="00501EF7" w:rsidRPr="00AF71F2">
              <w:rPr>
                <w:rFonts w:ascii="Trebuchet MS" w:hAnsi="Trebuchet MS"/>
                <w:color w:val="000000"/>
                <w:sz w:val="22"/>
                <w:szCs w:val="22"/>
                <w:lang w:eastAsia="en-US"/>
              </w:rPr>
              <w:t xml:space="preserve">ei </w:t>
            </w:r>
            <w:r w:rsidR="007E62A3" w:rsidRPr="00AF71F2">
              <w:rPr>
                <w:rFonts w:ascii="Trebuchet MS" w:hAnsi="Trebuchet MS"/>
                <w:color w:val="000000"/>
                <w:sz w:val="22"/>
                <w:szCs w:val="22"/>
                <w:lang w:eastAsia="en-US"/>
              </w:rPr>
              <w:t>are calitatea</w:t>
            </w:r>
            <w:r w:rsidRPr="00AF71F2">
              <w:rPr>
                <w:rFonts w:ascii="Trebuchet MS" w:hAnsi="Trebuchet MS"/>
                <w:color w:val="000000"/>
                <w:sz w:val="22"/>
                <w:szCs w:val="22"/>
                <w:lang w:eastAsia="en-US"/>
              </w:rPr>
              <w:t xml:space="preserve"> de A</w:t>
            </w:r>
            <w:r w:rsidR="00501EF7" w:rsidRPr="00AF71F2">
              <w:rPr>
                <w:rFonts w:ascii="Trebuchet MS" w:hAnsi="Trebuchet MS"/>
                <w:color w:val="000000"/>
                <w:sz w:val="22"/>
                <w:szCs w:val="22"/>
                <w:lang w:eastAsia="en-US"/>
              </w:rPr>
              <w:t>utorit</w:t>
            </w:r>
            <w:r w:rsidRPr="00AF71F2">
              <w:rPr>
                <w:rFonts w:ascii="Trebuchet MS" w:hAnsi="Trebuchet MS"/>
                <w:color w:val="000000"/>
                <w:sz w:val="22"/>
                <w:szCs w:val="22"/>
                <w:lang w:eastAsia="en-US"/>
              </w:rPr>
              <w:t>ate de M</w:t>
            </w:r>
            <w:r w:rsidR="00501EF7" w:rsidRPr="00AF71F2">
              <w:rPr>
                <w:rFonts w:ascii="Trebuchet MS" w:hAnsi="Trebuchet MS"/>
                <w:color w:val="000000"/>
                <w:sz w:val="22"/>
                <w:szCs w:val="22"/>
                <w:lang w:eastAsia="en-US"/>
              </w:rPr>
              <w:t>anagement pentru Programul Operaț</w:t>
            </w:r>
            <w:r w:rsidR="00501EF7" w:rsidRPr="00AF71F2">
              <w:rPr>
                <w:rFonts w:ascii="Arial" w:hAnsi="Arial" w:cs="Arial"/>
                <w:color w:val="000000"/>
                <w:sz w:val="22"/>
                <w:szCs w:val="22"/>
                <w:lang w:eastAsia="en-US"/>
              </w:rPr>
              <w:t>i</w:t>
            </w:r>
            <w:r w:rsidR="00501EF7" w:rsidRPr="00AF71F2">
              <w:rPr>
                <w:rFonts w:ascii="Trebuchet MS" w:hAnsi="Trebuchet MS"/>
                <w:color w:val="000000"/>
                <w:sz w:val="22"/>
                <w:szCs w:val="22"/>
                <w:lang w:eastAsia="en-US"/>
              </w:rPr>
              <w:t>onal Regional</w:t>
            </w:r>
            <w:r w:rsidRPr="00AF71F2">
              <w:rPr>
                <w:rFonts w:ascii="Trebuchet MS" w:hAnsi="Trebuchet MS"/>
                <w:color w:val="000000"/>
                <w:sz w:val="22"/>
                <w:szCs w:val="22"/>
                <w:lang w:eastAsia="en-US"/>
              </w:rPr>
              <w:t xml:space="preserve"> 2014-2020</w:t>
            </w:r>
            <w:r w:rsidR="004E7CE0" w:rsidRPr="00AF71F2">
              <w:rPr>
                <w:rFonts w:ascii="Trebuchet MS" w:hAnsi="Trebuchet MS"/>
                <w:color w:val="000000"/>
                <w:sz w:val="22"/>
                <w:szCs w:val="22"/>
                <w:lang w:eastAsia="en-US"/>
              </w:rPr>
              <w:t xml:space="preserve"> (POR</w:t>
            </w:r>
            <w:r w:rsidRPr="00AF71F2">
              <w:rPr>
                <w:rFonts w:ascii="Trebuchet MS" w:hAnsi="Trebuchet MS"/>
                <w:color w:val="000000"/>
                <w:sz w:val="22"/>
                <w:szCs w:val="22"/>
                <w:lang w:eastAsia="en-US"/>
              </w:rPr>
              <w:t xml:space="preserve"> 2014-2020</w:t>
            </w:r>
            <w:r w:rsidR="004E7CE0" w:rsidRPr="00AF71F2">
              <w:rPr>
                <w:rFonts w:ascii="Trebuchet MS" w:hAnsi="Trebuchet MS"/>
                <w:color w:val="000000"/>
                <w:sz w:val="22"/>
                <w:szCs w:val="22"/>
                <w:lang w:eastAsia="en-US"/>
              </w:rPr>
              <w:t>)</w:t>
            </w:r>
            <w:r w:rsidR="00501EF7" w:rsidRPr="00AF71F2">
              <w:rPr>
                <w:rFonts w:ascii="Trebuchet MS" w:hAnsi="Trebuchet MS"/>
                <w:color w:val="000000"/>
                <w:sz w:val="22"/>
                <w:szCs w:val="22"/>
                <w:lang w:eastAsia="en-US"/>
              </w:rPr>
              <w:t xml:space="preserve">. </w:t>
            </w:r>
          </w:p>
          <w:p w:rsidR="00501EF7" w:rsidRPr="00501EF7" w:rsidRDefault="00721526" w:rsidP="00BB155F">
            <w:pPr>
              <w:pStyle w:val="NormalWeb"/>
              <w:spacing w:before="0" w:beforeAutospacing="0" w:after="0" w:afterAutospacing="0"/>
              <w:jc w:val="both"/>
              <w:rPr>
                <w:rFonts w:ascii="Trebuchet MS" w:hAnsi="Trebuchet MS"/>
                <w:sz w:val="22"/>
                <w:szCs w:val="22"/>
                <w:lang w:eastAsia="en-US"/>
              </w:rPr>
            </w:pPr>
            <w:r>
              <w:rPr>
                <w:rFonts w:ascii="Trebuchet MS" w:hAnsi="Trebuchet MS"/>
                <w:sz w:val="22"/>
                <w:szCs w:val="22"/>
                <w:lang w:eastAsia="en-US"/>
              </w:rPr>
              <w:t xml:space="preserve">    </w:t>
            </w:r>
            <w:r w:rsidR="00501EF7" w:rsidRPr="00501EF7">
              <w:rPr>
                <w:rFonts w:ascii="Trebuchet MS" w:hAnsi="Trebuchet MS"/>
                <w:sz w:val="22"/>
                <w:szCs w:val="22"/>
                <w:lang w:eastAsia="en-US"/>
              </w:rPr>
              <w:t>Managementul financiar al fondurilor europene aferent perioadei 2014-2020 este reglementat prin O</w:t>
            </w:r>
            <w:r w:rsidR="00525DD5">
              <w:rPr>
                <w:rFonts w:ascii="Trebuchet MS" w:hAnsi="Trebuchet MS"/>
                <w:sz w:val="22"/>
                <w:szCs w:val="22"/>
                <w:lang w:eastAsia="en-US"/>
              </w:rPr>
              <w:t xml:space="preserve">rdonanța de urgență a </w:t>
            </w:r>
            <w:r w:rsidR="00501EF7" w:rsidRPr="00501EF7">
              <w:rPr>
                <w:rFonts w:ascii="Trebuchet MS" w:hAnsi="Trebuchet MS"/>
                <w:sz w:val="22"/>
                <w:szCs w:val="22"/>
                <w:lang w:eastAsia="en-US"/>
              </w:rPr>
              <w:t>G</w:t>
            </w:r>
            <w:r w:rsidR="00525DD5">
              <w:rPr>
                <w:rFonts w:ascii="Trebuchet MS" w:hAnsi="Trebuchet MS"/>
                <w:sz w:val="22"/>
                <w:szCs w:val="22"/>
                <w:lang w:eastAsia="en-US"/>
              </w:rPr>
              <w:t>uvernului</w:t>
            </w:r>
            <w:r w:rsidR="00501EF7" w:rsidRPr="00501EF7">
              <w:rPr>
                <w:rFonts w:ascii="Trebuchet MS" w:hAnsi="Trebuchet MS"/>
                <w:sz w:val="22"/>
                <w:szCs w:val="22"/>
                <w:lang w:eastAsia="en-US"/>
              </w:rPr>
              <w:t xml:space="preserve"> nr. 40/2015 privind gestionarea financiară a fondurilor europene pentru perioada de programare 2014-2020, cu completările și modificările ulterioare. </w:t>
            </w:r>
          </w:p>
          <w:p w:rsidR="005D2DD5" w:rsidRPr="00501EF7" w:rsidRDefault="00721526" w:rsidP="005D2DD5">
            <w:pPr>
              <w:autoSpaceDE w:val="0"/>
              <w:autoSpaceDN w:val="0"/>
              <w:adjustRightInd w:val="0"/>
              <w:jc w:val="both"/>
              <w:rPr>
                <w:rFonts w:ascii="Trebuchet MS" w:hAnsi="Trebuchet MS" w:cs="Arial"/>
                <w:sz w:val="22"/>
                <w:szCs w:val="22"/>
                <w:lang w:eastAsia="en-GB"/>
              </w:rPr>
            </w:pPr>
            <w:r>
              <w:rPr>
                <w:rFonts w:ascii="Trebuchet MS" w:hAnsi="Trebuchet MS" w:cs="Arial"/>
                <w:sz w:val="22"/>
                <w:szCs w:val="22"/>
                <w:lang w:eastAsia="en-GB"/>
              </w:rPr>
              <w:t xml:space="preserve">   </w:t>
            </w:r>
            <w:r w:rsidR="00501EF7" w:rsidRPr="00501EF7">
              <w:rPr>
                <w:rFonts w:ascii="Trebuchet MS" w:hAnsi="Trebuchet MS" w:cs="Arial"/>
                <w:sz w:val="22"/>
                <w:szCs w:val="22"/>
                <w:lang w:eastAsia="en-GB"/>
              </w:rPr>
              <w:t xml:space="preserve">Pentru </w:t>
            </w:r>
            <w:r w:rsidR="002C69F1" w:rsidRPr="00501EF7">
              <w:rPr>
                <w:rFonts w:ascii="Trebuchet MS" w:hAnsi="Trebuchet MS" w:cs="Arial"/>
                <w:sz w:val="22"/>
                <w:szCs w:val="22"/>
                <w:lang w:eastAsia="en-GB"/>
              </w:rPr>
              <w:t>următoarea</w:t>
            </w:r>
            <w:r w:rsidR="00501EF7" w:rsidRPr="00501EF7">
              <w:rPr>
                <w:rFonts w:ascii="Trebuchet MS" w:hAnsi="Trebuchet MS" w:cs="Arial"/>
                <w:sz w:val="22"/>
                <w:szCs w:val="22"/>
                <w:lang w:eastAsia="en-GB"/>
              </w:rPr>
              <w:t xml:space="preserve"> perioadă de programare</w:t>
            </w:r>
            <w:r w:rsidR="00BB155F">
              <w:rPr>
                <w:rFonts w:ascii="Trebuchet MS" w:hAnsi="Trebuchet MS" w:cs="Arial"/>
                <w:sz w:val="22"/>
                <w:szCs w:val="22"/>
                <w:lang w:eastAsia="en-GB"/>
              </w:rPr>
              <w:t>,</w:t>
            </w:r>
            <w:r w:rsidR="00501EF7" w:rsidRPr="00501EF7">
              <w:rPr>
                <w:rFonts w:ascii="Trebuchet MS" w:hAnsi="Trebuchet MS" w:cs="Arial"/>
                <w:sz w:val="22"/>
                <w:szCs w:val="22"/>
                <w:lang w:eastAsia="en-GB"/>
              </w:rPr>
              <w:t xml:space="preserve"> Comisia Europeană a emis</w:t>
            </w:r>
            <w:r w:rsidR="005D2DD5">
              <w:rPr>
                <w:rFonts w:ascii="Trebuchet MS" w:hAnsi="Trebuchet MS" w:cs="Arial"/>
                <w:sz w:val="22"/>
                <w:szCs w:val="22"/>
                <w:lang w:eastAsia="en-GB"/>
              </w:rPr>
              <w:t xml:space="preserve"> propuneri de</w:t>
            </w:r>
            <w:r w:rsidR="00501EF7" w:rsidRPr="00501EF7">
              <w:rPr>
                <w:rFonts w:ascii="Trebuchet MS" w:hAnsi="Trebuchet MS" w:cs="Arial"/>
                <w:sz w:val="22"/>
                <w:szCs w:val="22"/>
                <w:lang w:eastAsia="en-GB"/>
              </w:rPr>
              <w:t xml:space="preserve"> reglementări comune pentru opt fonduri cu gestiune partajată pentru a</w:t>
            </w:r>
            <w:r w:rsidR="00E434DE">
              <w:t xml:space="preserve"> </w:t>
            </w:r>
            <w:r w:rsidR="00E434DE">
              <w:rPr>
                <w:rFonts w:ascii="Trebuchet MS" w:hAnsi="Trebuchet MS" w:cs="Arial"/>
                <w:sz w:val="22"/>
                <w:szCs w:val="22"/>
                <w:lang w:eastAsia="en-GB"/>
              </w:rPr>
              <w:t xml:space="preserve">uniformiza regulile </w:t>
            </w:r>
            <w:r w:rsidR="00525DD5">
              <w:rPr>
                <w:rFonts w:ascii="Trebuchet MS" w:hAnsi="Trebuchet MS" w:cs="Arial"/>
                <w:sz w:val="22"/>
                <w:szCs w:val="22"/>
                <w:lang w:eastAsia="en-GB"/>
              </w:rPr>
              <w:t xml:space="preserve"> de </w:t>
            </w:r>
            <w:r w:rsidR="00E434DE" w:rsidRPr="00E434DE">
              <w:rPr>
                <w:rFonts w:ascii="Trebuchet MS" w:hAnsi="Trebuchet MS" w:cs="Arial"/>
                <w:sz w:val="22"/>
                <w:szCs w:val="22"/>
                <w:lang w:eastAsia="en-GB"/>
              </w:rPr>
              <w:t>utiliz</w:t>
            </w:r>
            <w:r w:rsidR="00E434DE">
              <w:rPr>
                <w:rFonts w:ascii="Trebuchet MS" w:hAnsi="Trebuchet MS" w:cs="Arial"/>
                <w:sz w:val="22"/>
                <w:szCs w:val="22"/>
                <w:lang w:eastAsia="en-GB"/>
              </w:rPr>
              <w:t>are</w:t>
            </w:r>
            <w:r w:rsidR="00525DD5">
              <w:rPr>
                <w:rFonts w:ascii="Trebuchet MS" w:hAnsi="Trebuchet MS" w:cs="Arial"/>
                <w:sz w:val="22"/>
                <w:szCs w:val="22"/>
                <w:lang w:eastAsia="en-GB"/>
              </w:rPr>
              <w:t xml:space="preserve"> a </w:t>
            </w:r>
            <w:r w:rsidR="00E434DE" w:rsidRPr="00E434DE">
              <w:rPr>
                <w:rFonts w:ascii="Trebuchet MS" w:hAnsi="Trebuchet MS" w:cs="Arial"/>
                <w:sz w:val="22"/>
                <w:szCs w:val="22"/>
                <w:lang w:eastAsia="en-GB"/>
              </w:rPr>
              <w:t xml:space="preserve"> resurselor financiare puse la dispoziția statelor membre din bugetul Uniunii Europene.</w:t>
            </w:r>
            <w:r w:rsidR="00E434DE" w:rsidRPr="00501EF7">
              <w:rPr>
                <w:rFonts w:ascii="Trebuchet MS" w:hAnsi="Trebuchet MS" w:cs="Arial"/>
                <w:sz w:val="22"/>
                <w:szCs w:val="22"/>
                <w:lang w:eastAsia="en-GB"/>
              </w:rPr>
              <w:t xml:space="preserve"> </w:t>
            </w:r>
            <w:r w:rsidR="00E434DE" w:rsidRPr="008A76A2">
              <w:rPr>
                <w:rFonts w:ascii="Trebuchet MS" w:hAnsi="Trebuchet MS" w:cs="Arial"/>
                <w:sz w:val="22"/>
                <w:szCs w:val="22"/>
                <w:lang w:eastAsia="en-GB"/>
              </w:rPr>
              <w:t>Astfel, propunerea de regulament comun vizează îmbunătățirea coordonării și armonizării implementării fondurilor care furnizează contribuții în temeiul politicii de coeziune, și anume</w:t>
            </w:r>
            <w:r w:rsidR="00BB155F">
              <w:rPr>
                <w:rFonts w:ascii="Trebuchet MS" w:hAnsi="Trebuchet MS" w:cs="Arial"/>
                <w:sz w:val="22"/>
                <w:szCs w:val="22"/>
                <w:lang w:eastAsia="en-GB"/>
              </w:rPr>
              <w:t>:</w:t>
            </w:r>
            <w:r w:rsidR="00E434DE" w:rsidRPr="008A76A2">
              <w:rPr>
                <w:rFonts w:ascii="Trebuchet MS" w:hAnsi="Trebuchet MS" w:cs="Arial"/>
                <w:sz w:val="22"/>
                <w:szCs w:val="22"/>
                <w:lang w:eastAsia="en-GB"/>
              </w:rPr>
              <w:t xml:space="preserve"> Fondul european de dezvoltare regională (FEDR), Fondul social european (FSE) și Fondul de coeziune. Totodată, propunerea de regulament comun vizează Fondul pentru Tranziție Echitabilă (FTE) și Fondul european pentru afaceri maritime și activități pescărești și de</w:t>
            </w:r>
            <w:r w:rsidR="00BB155F">
              <w:rPr>
                <w:rFonts w:ascii="Trebuchet MS" w:hAnsi="Trebuchet MS" w:cs="Arial"/>
                <w:sz w:val="22"/>
                <w:szCs w:val="22"/>
                <w:lang w:eastAsia="en-GB"/>
              </w:rPr>
              <w:t xml:space="preserve"> acvacultură (</w:t>
            </w:r>
            <w:r w:rsidR="00525DD5" w:rsidRPr="008A76A2">
              <w:rPr>
                <w:rFonts w:ascii="Trebuchet MS" w:hAnsi="Trebuchet MS" w:cs="Arial"/>
                <w:sz w:val="22"/>
                <w:szCs w:val="22"/>
                <w:lang w:eastAsia="en-GB"/>
              </w:rPr>
              <w:t>FEAMAPA).</w:t>
            </w:r>
            <w:r w:rsidR="00886E57">
              <w:rPr>
                <w:rFonts w:ascii="Trebuchet MS" w:hAnsi="Trebuchet MS" w:cs="Arial"/>
                <w:sz w:val="22"/>
                <w:szCs w:val="22"/>
                <w:lang w:eastAsia="en-GB"/>
              </w:rPr>
              <w:t xml:space="preserve"> </w:t>
            </w:r>
            <w:r w:rsidR="00E434DE" w:rsidRPr="008A76A2">
              <w:rPr>
                <w:rFonts w:ascii="Trebuchet MS" w:hAnsi="Trebuchet MS" w:cs="Arial"/>
                <w:sz w:val="22"/>
                <w:szCs w:val="22"/>
                <w:lang w:eastAsia="en-GB"/>
              </w:rPr>
              <w:t>De asemenea, s-a avut în vedere asigurarea unui răspuns comun adecvat și complementar la provocările generate de crizele în materie de migrație și securitate, respectiv guvernarea comună cu fondurile aferente domeniului afaceri interne, respectiv Fondul pentru azil și migrație, Fondul pentru securitate internă și Instrumentul pentru managementul frontierelor și vize.</w:t>
            </w:r>
            <w:r w:rsidR="00F2400E" w:rsidRPr="008A76A2">
              <w:rPr>
                <w:rFonts w:ascii="Trebuchet MS" w:hAnsi="Trebuchet MS" w:cs="Arial"/>
                <w:sz w:val="22"/>
                <w:szCs w:val="22"/>
                <w:lang w:eastAsia="en-GB"/>
              </w:rPr>
              <w:t xml:space="preserve"> </w:t>
            </w:r>
            <w:r w:rsidR="00F2400E">
              <w:rPr>
                <w:rFonts w:ascii="Trebuchet MS" w:hAnsi="Trebuchet MS" w:cs="Arial"/>
                <w:sz w:val="22"/>
                <w:szCs w:val="22"/>
                <w:lang w:eastAsia="en-GB"/>
              </w:rPr>
              <w:t xml:space="preserve">Se </w:t>
            </w:r>
            <w:r w:rsidR="00501EF7" w:rsidRPr="00501EF7">
              <w:rPr>
                <w:rFonts w:ascii="Trebuchet MS" w:hAnsi="Trebuchet MS" w:cs="Arial"/>
                <w:sz w:val="22"/>
                <w:szCs w:val="22"/>
                <w:lang w:eastAsia="en-GB"/>
              </w:rPr>
              <w:t xml:space="preserve">reduce fragmentarea utilizării resurselor financiare puse la dispoziția statelor membre din bugetul Uniunii Europene. </w:t>
            </w:r>
          </w:p>
          <w:p w:rsidR="00501EF7" w:rsidRPr="00501EF7" w:rsidRDefault="00721526" w:rsidP="00292E7A">
            <w:pPr>
              <w:autoSpaceDE w:val="0"/>
              <w:autoSpaceDN w:val="0"/>
              <w:adjustRightInd w:val="0"/>
              <w:jc w:val="both"/>
              <w:rPr>
                <w:rFonts w:ascii="Trebuchet MS" w:hAnsi="Trebuchet MS" w:cs="Arial"/>
                <w:sz w:val="22"/>
                <w:szCs w:val="22"/>
                <w:lang w:eastAsia="en-GB"/>
              </w:rPr>
            </w:pPr>
            <w:r>
              <w:rPr>
                <w:rFonts w:ascii="Trebuchet MS" w:hAnsi="Trebuchet MS" w:cs="Arial"/>
                <w:sz w:val="22"/>
                <w:szCs w:val="22"/>
                <w:lang w:eastAsia="en-GB"/>
              </w:rPr>
              <w:t xml:space="preserve">     </w:t>
            </w:r>
            <w:r w:rsidR="00501EF7" w:rsidRPr="00501EF7">
              <w:rPr>
                <w:rFonts w:ascii="Trebuchet MS" w:hAnsi="Trebuchet MS" w:cs="Arial"/>
                <w:sz w:val="22"/>
                <w:szCs w:val="22"/>
                <w:lang w:eastAsia="en-GB"/>
              </w:rPr>
              <w:t xml:space="preserve">În conformitate cu principiul și normele gestiunii partajate, statele membre au responsabilitatea principală pentru managementul și controlul </w:t>
            </w:r>
            <w:r w:rsidR="002C69F1" w:rsidRPr="00501EF7">
              <w:rPr>
                <w:rFonts w:ascii="Trebuchet MS" w:hAnsi="Trebuchet MS" w:cs="Arial"/>
                <w:sz w:val="22"/>
                <w:szCs w:val="22"/>
                <w:lang w:eastAsia="en-GB"/>
              </w:rPr>
              <w:t>asistenței</w:t>
            </w:r>
            <w:r w:rsidR="00501EF7" w:rsidRPr="00501EF7">
              <w:rPr>
                <w:rFonts w:ascii="Trebuchet MS" w:hAnsi="Trebuchet MS" w:cs="Arial"/>
                <w:sz w:val="22"/>
                <w:szCs w:val="22"/>
                <w:lang w:eastAsia="en-GB"/>
              </w:rPr>
              <w:t xml:space="preserve"> financiare nerambursabile din partea Uniunii</w:t>
            </w:r>
            <w:r w:rsidR="00525DD5">
              <w:rPr>
                <w:rFonts w:ascii="Trebuchet MS" w:hAnsi="Trebuchet MS" w:cs="Arial"/>
                <w:sz w:val="22"/>
                <w:szCs w:val="22"/>
                <w:lang w:eastAsia="en-GB"/>
              </w:rPr>
              <w:t xml:space="preserve"> Europene</w:t>
            </w:r>
            <w:r w:rsidR="00501EF7" w:rsidRPr="00501EF7">
              <w:rPr>
                <w:rFonts w:ascii="Trebuchet MS" w:hAnsi="Trebuchet MS" w:cs="Arial"/>
                <w:sz w:val="22"/>
                <w:szCs w:val="22"/>
                <w:lang w:eastAsia="en-GB"/>
              </w:rPr>
              <w:t>, iar pachetul legislativ promovat în acest sens pentru implementarea</w:t>
            </w:r>
            <w:r w:rsidR="00F46C4C">
              <w:rPr>
                <w:rFonts w:ascii="Trebuchet MS" w:hAnsi="Trebuchet MS" w:cs="Arial"/>
                <w:sz w:val="22"/>
                <w:szCs w:val="22"/>
                <w:lang w:eastAsia="en-GB"/>
              </w:rPr>
              <w:t xml:space="preserve"> </w:t>
            </w:r>
            <w:r w:rsidR="00501EF7" w:rsidRPr="00501EF7">
              <w:rPr>
                <w:rFonts w:ascii="Trebuchet MS" w:hAnsi="Trebuchet MS" w:cs="Arial"/>
                <w:sz w:val="22"/>
                <w:szCs w:val="22"/>
                <w:lang w:eastAsia="en-GB"/>
              </w:rPr>
              <w:t xml:space="preserve">fondurilor </w:t>
            </w:r>
            <w:r w:rsidR="001275A6">
              <w:rPr>
                <w:rFonts w:ascii="Trebuchet MS" w:hAnsi="Trebuchet MS"/>
                <w:sz w:val="22"/>
                <w:szCs w:val="22"/>
              </w:rPr>
              <w:t xml:space="preserve"> </w:t>
            </w:r>
            <w:r w:rsidR="001275A6">
              <w:rPr>
                <w:rFonts w:ascii="Trebuchet MS" w:hAnsi="Trebuchet MS"/>
                <w:sz w:val="22"/>
                <w:szCs w:val="22"/>
              </w:rPr>
              <w:lastRenderedPageBreak/>
              <w:t>externe nerambursabile</w:t>
            </w:r>
            <w:r w:rsidR="001275A6" w:rsidRPr="00501EF7" w:rsidDel="001275A6">
              <w:rPr>
                <w:rFonts w:ascii="Trebuchet MS" w:hAnsi="Trebuchet MS" w:cs="Arial"/>
                <w:sz w:val="22"/>
                <w:szCs w:val="22"/>
                <w:lang w:eastAsia="en-GB"/>
              </w:rPr>
              <w:t xml:space="preserve"> </w:t>
            </w:r>
            <w:r w:rsidR="00501EF7" w:rsidRPr="00501EF7">
              <w:rPr>
                <w:rFonts w:ascii="Trebuchet MS" w:hAnsi="Trebuchet MS" w:cs="Arial"/>
                <w:sz w:val="22"/>
                <w:szCs w:val="22"/>
                <w:lang w:eastAsia="en-GB"/>
              </w:rPr>
              <w:t xml:space="preserve"> 2021-2027 în gestiune partajată, cuprinde o serie de reglementări care impun statelor membre acțiuni de ordin administrativ </w:t>
            </w:r>
            <w:r w:rsidR="002C69F1" w:rsidRPr="00501EF7">
              <w:rPr>
                <w:rFonts w:ascii="Trebuchet MS" w:hAnsi="Trebuchet MS" w:cs="Arial"/>
                <w:sz w:val="22"/>
                <w:szCs w:val="22"/>
                <w:lang w:eastAsia="en-GB"/>
              </w:rPr>
              <w:t>și</w:t>
            </w:r>
            <w:r w:rsidR="00501EF7" w:rsidRPr="00501EF7">
              <w:rPr>
                <w:rFonts w:ascii="Trebuchet MS" w:hAnsi="Trebuchet MS" w:cs="Arial"/>
                <w:sz w:val="22"/>
                <w:szCs w:val="22"/>
                <w:lang w:eastAsia="en-GB"/>
              </w:rPr>
              <w:t xml:space="preserve"> organizatoric privind stabilirea cadrului instituțional, sarcinile și responsabilitățile diferitelor organisme din cadrul sistemului de management și control aferent acestor fonduri.</w:t>
            </w:r>
          </w:p>
          <w:p w:rsidR="00501EF7" w:rsidRPr="00AF71F2" w:rsidRDefault="00721526" w:rsidP="00292E7A">
            <w:pPr>
              <w:autoSpaceDE w:val="0"/>
              <w:autoSpaceDN w:val="0"/>
              <w:adjustRightInd w:val="0"/>
              <w:jc w:val="both"/>
              <w:rPr>
                <w:rFonts w:ascii="Trebuchet MS" w:hAnsi="Trebuchet MS" w:cs="Arial"/>
                <w:color w:val="000000"/>
                <w:sz w:val="22"/>
                <w:szCs w:val="22"/>
                <w:lang w:eastAsia="en-GB"/>
              </w:rPr>
            </w:pPr>
            <w:r>
              <w:rPr>
                <w:rFonts w:ascii="Trebuchet MS" w:hAnsi="Trebuchet MS" w:cs="Arial"/>
                <w:sz w:val="22"/>
                <w:szCs w:val="22"/>
                <w:lang w:eastAsia="en-GB"/>
              </w:rPr>
              <w:t xml:space="preserve">     </w:t>
            </w:r>
            <w:r w:rsidR="00501EF7" w:rsidRPr="00501EF7">
              <w:rPr>
                <w:rFonts w:ascii="Trebuchet MS" w:hAnsi="Trebuchet MS" w:cs="Arial"/>
                <w:sz w:val="22"/>
                <w:szCs w:val="22"/>
                <w:lang w:eastAsia="en-GB"/>
              </w:rPr>
              <w:t xml:space="preserve">Politica de coeziune este una din cele mai importante </w:t>
            </w:r>
            <w:r w:rsidR="002C69F1" w:rsidRPr="00501EF7">
              <w:rPr>
                <w:rFonts w:ascii="Trebuchet MS" w:hAnsi="Trebuchet MS" w:cs="Arial"/>
                <w:sz w:val="22"/>
                <w:szCs w:val="22"/>
                <w:lang w:eastAsia="en-GB"/>
              </w:rPr>
              <w:t>și</w:t>
            </w:r>
            <w:r w:rsidR="00501EF7" w:rsidRPr="00501EF7">
              <w:rPr>
                <w:rFonts w:ascii="Trebuchet MS" w:hAnsi="Trebuchet MS" w:cs="Arial"/>
                <w:sz w:val="22"/>
                <w:szCs w:val="22"/>
                <w:lang w:eastAsia="en-GB"/>
              </w:rPr>
              <w:t xml:space="preserve"> mai complexe politici ale Uniunii Europene, având ca principal obiectiv reducerea decalajelor economice, sociale şi teritoriale între diversele regiuni </w:t>
            </w:r>
            <w:r w:rsidR="002C69F1" w:rsidRPr="00501EF7">
              <w:rPr>
                <w:rFonts w:ascii="Trebuchet MS" w:hAnsi="Trebuchet MS" w:cs="Arial"/>
                <w:sz w:val="22"/>
                <w:szCs w:val="22"/>
                <w:lang w:eastAsia="en-GB"/>
              </w:rPr>
              <w:t>și</w:t>
            </w:r>
            <w:r w:rsidR="00501EF7" w:rsidRPr="00501EF7">
              <w:rPr>
                <w:rFonts w:ascii="Trebuchet MS" w:hAnsi="Trebuchet MS" w:cs="Arial"/>
                <w:sz w:val="22"/>
                <w:szCs w:val="22"/>
                <w:lang w:eastAsia="en-GB"/>
              </w:rPr>
              <w:t xml:space="preserve"> state membre ale Uniunii Europene. În cadrul acestei politici, obiectivele specifice privind creșterea </w:t>
            </w:r>
            <w:r w:rsidR="00501EF7" w:rsidRPr="00AF71F2">
              <w:rPr>
                <w:rFonts w:ascii="Trebuchet MS" w:hAnsi="Trebuchet MS" w:cs="Arial"/>
                <w:color w:val="000000"/>
                <w:sz w:val="22"/>
                <w:szCs w:val="22"/>
                <w:lang w:eastAsia="en-GB"/>
              </w:rPr>
              <w:t xml:space="preserve">economică și ocuparea forței de muncă sunt susținute prin contribuția fondurilor </w:t>
            </w:r>
            <w:r w:rsidR="001275A6">
              <w:rPr>
                <w:rFonts w:ascii="Trebuchet MS" w:hAnsi="Trebuchet MS"/>
                <w:sz w:val="22"/>
                <w:szCs w:val="22"/>
              </w:rPr>
              <w:t xml:space="preserve"> externe nerambursabile</w:t>
            </w:r>
            <w:r w:rsidR="001275A6" w:rsidRPr="00AF71F2" w:rsidDel="001275A6">
              <w:rPr>
                <w:rFonts w:ascii="Trebuchet MS" w:hAnsi="Trebuchet MS" w:cs="Arial"/>
                <w:color w:val="000000"/>
                <w:sz w:val="22"/>
                <w:szCs w:val="22"/>
                <w:lang w:eastAsia="en-GB"/>
              </w:rPr>
              <w:t xml:space="preserve"> </w:t>
            </w:r>
            <w:r w:rsidR="00501EF7" w:rsidRPr="00AF71F2">
              <w:rPr>
                <w:rFonts w:ascii="Trebuchet MS" w:hAnsi="Trebuchet MS" w:cs="Arial"/>
                <w:color w:val="000000"/>
                <w:sz w:val="22"/>
                <w:szCs w:val="22"/>
                <w:lang w:eastAsia="en-GB"/>
              </w:rPr>
              <w:t xml:space="preserve"> implementate prin bugete multianuale de 7 ani (perioade de programare).</w:t>
            </w:r>
          </w:p>
          <w:p w:rsidR="00501EF7" w:rsidRPr="00AF71F2" w:rsidRDefault="00721526" w:rsidP="00292E7A">
            <w:pPr>
              <w:autoSpaceDE w:val="0"/>
              <w:autoSpaceDN w:val="0"/>
              <w:adjustRightInd w:val="0"/>
              <w:jc w:val="both"/>
              <w:rPr>
                <w:rFonts w:ascii="Trebuchet MS" w:hAnsi="Trebuchet MS" w:cs="Arial"/>
                <w:color w:val="000000"/>
                <w:sz w:val="22"/>
                <w:szCs w:val="22"/>
                <w:lang w:eastAsia="en-GB"/>
              </w:rPr>
            </w:pPr>
            <w:r w:rsidRPr="00AF71F2">
              <w:rPr>
                <w:rFonts w:ascii="Trebuchet MS" w:hAnsi="Trebuchet MS" w:cs="Arial"/>
                <w:color w:val="000000"/>
                <w:sz w:val="22"/>
                <w:szCs w:val="22"/>
                <w:lang w:eastAsia="en-GB"/>
              </w:rPr>
              <w:t xml:space="preserve">    </w:t>
            </w:r>
            <w:r w:rsidR="00501EF7" w:rsidRPr="00AF71F2">
              <w:rPr>
                <w:rFonts w:ascii="Trebuchet MS" w:hAnsi="Trebuchet MS" w:cs="Arial"/>
                <w:color w:val="000000"/>
                <w:sz w:val="22"/>
                <w:szCs w:val="22"/>
                <w:lang w:eastAsia="en-GB"/>
              </w:rPr>
              <w:t xml:space="preserve">Politica de coeziune este implementată la nivel național începând cu perioada de programe 2007-2013, </w:t>
            </w:r>
            <w:r w:rsidR="004C67BC" w:rsidRPr="00AF71F2">
              <w:rPr>
                <w:rFonts w:ascii="Trebuchet MS" w:hAnsi="Trebuchet MS" w:cs="Arial"/>
                <w:color w:val="000000"/>
                <w:sz w:val="22"/>
                <w:szCs w:val="22"/>
                <w:lang w:eastAsia="en-GB"/>
              </w:rPr>
              <w:t xml:space="preserve">în prezent </w:t>
            </w:r>
            <w:r w:rsidR="00501EF7" w:rsidRPr="00AF71F2">
              <w:rPr>
                <w:rFonts w:ascii="Trebuchet MS" w:hAnsi="Trebuchet MS" w:cs="Arial"/>
                <w:color w:val="000000"/>
                <w:sz w:val="22"/>
                <w:szCs w:val="22"/>
                <w:lang w:eastAsia="en-GB"/>
              </w:rPr>
              <w:t>fiind în implementare perioada de programare 2014-2020.</w:t>
            </w:r>
          </w:p>
          <w:p w:rsidR="00501EF7" w:rsidRPr="00AF71F2" w:rsidRDefault="00721526" w:rsidP="00292E7A">
            <w:pPr>
              <w:jc w:val="both"/>
              <w:rPr>
                <w:rFonts w:ascii="Trebuchet MS" w:eastAsia="Calibri" w:hAnsi="Trebuchet MS"/>
                <w:color w:val="000000"/>
                <w:sz w:val="22"/>
                <w:szCs w:val="22"/>
                <w:lang w:val="en-GB"/>
              </w:rPr>
            </w:pPr>
            <w:r w:rsidRPr="00AF71F2">
              <w:rPr>
                <w:rFonts w:ascii="Trebuchet MS" w:eastAsia="Calibri" w:hAnsi="Trebuchet MS"/>
                <w:color w:val="000000"/>
                <w:sz w:val="22"/>
                <w:szCs w:val="22"/>
              </w:rPr>
              <w:t xml:space="preserve">    </w:t>
            </w:r>
            <w:r w:rsidR="00501EF7" w:rsidRPr="00AF71F2">
              <w:rPr>
                <w:rFonts w:ascii="Trebuchet MS" w:eastAsia="Calibri" w:hAnsi="Trebuchet MS"/>
                <w:color w:val="000000"/>
                <w:sz w:val="22"/>
                <w:szCs w:val="22"/>
              </w:rPr>
              <w:t xml:space="preserve">În cadrul POR 2007-2013 și POR 2014-2020 </w:t>
            </w:r>
            <w:r w:rsidR="004E7CE0" w:rsidRPr="00AF71F2">
              <w:rPr>
                <w:rFonts w:ascii="Trebuchet MS" w:eastAsia="Calibri" w:hAnsi="Trebuchet MS"/>
                <w:color w:val="000000"/>
                <w:sz w:val="22"/>
                <w:szCs w:val="22"/>
              </w:rPr>
              <w:t>A</w:t>
            </w:r>
            <w:r w:rsidR="00501EF7" w:rsidRPr="00AF71F2">
              <w:rPr>
                <w:rFonts w:ascii="Trebuchet MS" w:eastAsia="Calibri" w:hAnsi="Trebuchet MS"/>
                <w:color w:val="000000"/>
                <w:sz w:val="22"/>
                <w:szCs w:val="22"/>
              </w:rPr>
              <w:t xml:space="preserve">gențiile pentru </w:t>
            </w:r>
            <w:r w:rsidR="004E7CE0" w:rsidRPr="00AF71F2">
              <w:rPr>
                <w:rFonts w:ascii="Trebuchet MS" w:eastAsia="Calibri" w:hAnsi="Trebuchet MS"/>
                <w:color w:val="000000"/>
                <w:sz w:val="22"/>
                <w:szCs w:val="22"/>
              </w:rPr>
              <w:t>D</w:t>
            </w:r>
            <w:r w:rsidR="00501EF7" w:rsidRPr="00AF71F2">
              <w:rPr>
                <w:rFonts w:ascii="Trebuchet MS" w:eastAsia="Calibri" w:hAnsi="Trebuchet MS"/>
                <w:color w:val="000000"/>
                <w:sz w:val="22"/>
                <w:szCs w:val="22"/>
              </w:rPr>
              <w:t xml:space="preserve">ezvoltare </w:t>
            </w:r>
            <w:r w:rsidR="004E7CE0" w:rsidRPr="00AF71F2">
              <w:rPr>
                <w:rFonts w:ascii="Trebuchet MS" w:eastAsia="Calibri" w:hAnsi="Trebuchet MS"/>
                <w:color w:val="000000"/>
                <w:sz w:val="22"/>
                <w:szCs w:val="22"/>
              </w:rPr>
              <w:t xml:space="preserve">Regională </w:t>
            </w:r>
            <w:r w:rsidR="004C67BC" w:rsidRPr="00AF71F2">
              <w:rPr>
                <w:rFonts w:ascii="Trebuchet MS" w:eastAsia="Calibri" w:hAnsi="Trebuchet MS"/>
                <w:color w:val="000000"/>
                <w:sz w:val="22"/>
                <w:szCs w:val="22"/>
              </w:rPr>
              <w:t>(ADR)</w:t>
            </w:r>
            <w:r w:rsidR="00501EF7" w:rsidRPr="00AF71F2">
              <w:rPr>
                <w:rFonts w:ascii="Trebuchet MS" w:eastAsia="Calibri" w:hAnsi="Trebuchet MS"/>
                <w:color w:val="000000"/>
                <w:sz w:val="22"/>
                <w:szCs w:val="22"/>
              </w:rPr>
              <w:t xml:space="preserve"> au îndeplinit și îndeplinesc funcția de organism intermediar, cunoscând foarte bine mediul local și regional, având o expertiză tehnică relevantă în implementarea programelor de pre-aderare și post-aderare dovedită prin activitatea a 1.200 de experți și gestionarea cu succes a fondurilor alocate POR în România. </w:t>
            </w:r>
            <w:r w:rsidR="00AC7718" w:rsidRPr="00AF71F2">
              <w:rPr>
                <w:rFonts w:ascii="Trebuchet MS" w:eastAsia="Calibri" w:hAnsi="Trebuchet MS"/>
                <w:color w:val="000000"/>
                <w:sz w:val="22"/>
                <w:szCs w:val="22"/>
                <w:lang w:val="en-GB"/>
              </w:rPr>
              <w:t xml:space="preserve">Ca parte </w:t>
            </w:r>
            <w:proofErr w:type="spellStart"/>
            <w:r w:rsidR="00AC7718" w:rsidRPr="00AF71F2">
              <w:rPr>
                <w:rFonts w:ascii="Trebuchet MS" w:eastAsia="Calibri" w:hAnsi="Trebuchet MS"/>
                <w:color w:val="000000"/>
                <w:sz w:val="22"/>
                <w:szCs w:val="22"/>
                <w:lang w:val="en-GB"/>
              </w:rPr>
              <w:t>integrantă</w:t>
            </w:r>
            <w:proofErr w:type="spellEnd"/>
            <w:r w:rsidR="00AC7718" w:rsidRPr="00AF71F2">
              <w:rPr>
                <w:rFonts w:ascii="Trebuchet MS" w:eastAsia="Calibri" w:hAnsi="Trebuchet MS"/>
                <w:color w:val="000000"/>
                <w:sz w:val="22"/>
                <w:szCs w:val="22"/>
                <w:lang w:val="en-GB"/>
              </w:rPr>
              <w:t xml:space="preserve"> a </w:t>
            </w:r>
            <w:proofErr w:type="spellStart"/>
            <w:r w:rsidR="00AC7718" w:rsidRPr="00AF71F2">
              <w:rPr>
                <w:rFonts w:ascii="Trebuchet MS" w:eastAsia="Calibri" w:hAnsi="Trebuchet MS"/>
                <w:color w:val="000000"/>
                <w:sz w:val="22"/>
                <w:szCs w:val="22"/>
                <w:lang w:val="en-GB"/>
              </w:rPr>
              <w:t>sistemelor</w:t>
            </w:r>
            <w:proofErr w:type="spellEnd"/>
            <w:r w:rsidR="00AC7718" w:rsidRPr="00AF71F2">
              <w:rPr>
                <w:rFonts w:ascii="Trebuchet MS" w:eastAsia="Calibri" w:hAnsi="Trebuchet MS"/>
                <w:color w:val="000000"/>
                <w:sz w:val="22"/>
                <w:szCs w:val="22"/>
                <w:lang w:val="en-GB"/>
              </w:rPr>
              <w:t xml:space="preserve"> de management </w:t>
            </w:r>
            <w:proofErr w:type="spellStart"/>
            <w:r w:rsidR="00AC7718" w:rsidRPr="00AF71F2">
              <w:rPr>
                <w:rFonts w:ascii="Trebuchet MS" w:eastAsia="Calibri" w:hAnsi="Trebuchet MS"/>
                <w:color w:val="000000"/>
                <w:sz w:val="22"/>
                <w:szCs w:val="22"/>
                <w:lang w:val="en-GB"/>
              </w:rPr>
              <w:t>și</w:t>
            </w:r>
            <w:proofErr w:type="spellEnd"/>
            <w:r w:rsidR="00AC7718" w:rsidRPr="00AF71F2">
              <w:rPr>
                <w:rFonts w:ascii="Trebuchet MS" w:eastAsia="Calibri" w:hAnsi="Trebuchet MS"/>
                <w:color w:val="000000"/>
                <w:sz w:val="22"/>
                <w:szCs w:val="22"/>
                <w:lang w:val="en-GB"/>
              </w:rPr>
              <w:t xml:space="preserve"> control </w:t>
            </w:r>
            <w:proofErr w:type="spellStart"/>
            <w:r w:rsidR="00AC7718" w:rsidRPr="00AF71F2">
              <w:rPr>
                <w:rFonts w:ascii="Trebuchet MS" w:eastAsia="Calibri" w:hAnsi="Trebuchet MS"/>
                <w:color w:val="000000"/>
                <w:sz w:val="22"/>
                <w:szCs w:val="22"/>
                <w:lang w:val="en-GB"/>
              </w:rPr>
              <w:t>pentru</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Programul</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Operațional</w:t>
            </w:r>
            <w:proofErr w:type="spellEnd"/>
            <w:r w:rsidR="00AC7718" w:rsidRPr="00AF71F2">
              <w:rPr>
                <w:rFonts w:ascii="Trebuchet MS" w:eastAsia="Calibri" w:hAnsi="Trebuchet MS"/>
                <w:color w:val="000000"/>
                <w:sz w:val="22"/>
                <w:szCs w:val="22"/>
                <w:lang w:val="en-GB"/>
              </w:rPr>
              <w:t xml:space="preserve"> Regional, </w:t>
            </w:r>
            <w:proofErr w:type="spellStart"/>
            <w:r w:rsidR="00AC7718" w:rsidRPr="00AF71F2">
              <w:rPr>
                <w:rFonts w:ascii="Trebuchet MS" w:eastAsia="Calibri" w:hAnsi="Trebuchet MS"/>
                <w:color w:val="000000"/>
                <w:sz w:val="22"/>
                <w:szCs w:val="22"/>
                <w:lang w:val="en-GB"/>
              </w:rPr>
              <w:t>capacitatea</w:t>
            </w:r>
            <w:proofErr w:type="spellEnd"/>
            <w:r w:rsidR="00AC7718" w:rsidRPr="00AF71F2">
              <w:rPr>
                <w:rFonts w:ascii="Trebuchet MS" w:eastAsia="Calibri" w:hAnsi="Trebuchet MS"/>
                <w:color w:val="000000"/>
                <w:sz w:val="22"/>
                <w:szCs w:val="22"/>
                <w:lang w:val="en-GB"/>
              </w:rPr>
              <w:t xml:space="preserve"> ADR de </w:t>
            </w:r>
            <w:proofErr w:type="spellStart"/>
            <w:r w:rsidR="00AC7718" w:rsidRPr="00AF71F2">
              <w:rPr>
                <w:rFonts w:ascii="Trebuchet MS" w:eastAsia="Calibri" w:hAnsi="Trebuchet MS"/>
                <w:color w:val="000000"/>
                <w:sz w:val="22"/>
                <w:szCs w:val="22"/>
                <w:lang w:val="en-GB"/>
              </w:rPr>
              <w:t>îndeplinire</w:t>
            </w:r>
            <w:proofErr w:type="spellEnd"/>
            <w:r w:rsidR="00AC7718" w:rsidRPr="00AF71F2">
              <w:rPr>
                <w:rFonts w:ascii="Trebuchet MS" w:eastAsia="Calibri" w:hAnsi="Trebuchet MS"/>
                <w:color w:val="000000"/>
                <w:sz w:val="22"/>
                <w:szCs w:val="22"/>
                <w:lang w:val="en-GB"/>
              </w:rPr>
              <w:t xml:space="preserve"> a </w:t>
            </w:r>
            <w:proofErr w:type="spellStart"/>
            <w:r w:rsidR="00AC7718" w:rsidRPr="00AF71F2">
              <w:rPr>
                <w:rFonts w:ascii="Trebuchet MS" w:eastAsia="Calibri" w:hAnsi="Trebuchet MS"/>
                <w:color w:val="000000"/>
                <w:sz w:val="22"/>
                <w:szCs w:val="22"/>
                <w:lang w:val="en-GB"/>
              </w:rPr>
              <w:t>funcțiilor</w:t>
            </w:r>
            <w:proofErr w:type="spellEnd"/>
            <w:r w:rsidR="00AC7718" w:rsidRPr="00AF71F2">
              <w:rPr>
                <w:rFonts w:ascii="Trebuchet MS" w:eastAsia="Calibri" w:hAnsi="Trebuchet MS"/>
                <w:color w:val="000000"/>
                <w:sz w:val="22"/>
                <w:szCs w:val="22"/>
                <w:lang w:val="en-GB"/>
              </w:rPr>
              <w:t xml:space="preserve"> de organism </w:t>
            </w:r>
            <w:proofErr w:type="spellStart"/>
            <w:r w:rsidR="00AC7718" w:rsidRPr="00AF71F2">
              <w:rPr>
                <w:rFonts w:ascii="Trebuchet MS" w:eastAsia="Calibri" w:hAnsi="Trebuchet MS"/>
                <w:color w:val="000000"/>
                <w:sz w:val="22"/>
                <w:szCs w:val="22"/>
                <w:lang w:val="en-GB"/>
              </w:rPr>
              <w:t>intermediar</w:t>
            </w:r>
            <w:proofErr w:type="spellEnd"/>
            <w:r w:rsidR="00AC7718" w:rsidRPr="00AF71F2">
              <w:rPr>
                <w:rFonts w:ascii="Trebuchet MS" w:eastAsia="Calibri" w:hAnsi="Trebuchet MS"/>
                <w:color w:val="000000"/>
                <w:sz w:val="22"/>
                <w:szCs w:val="22"/>
                <w:lang w:val="en-GB"/>
              </w:rPr>
              <w:t xml:space="preserve"> a </w:t>
            </w:r>
            <w:proofErr w:type="spellStart"/>
            <w:r w:rsidR="00AC7718" w:rsidRPr="00AF71F2">
              <w:rPr>
                <w:rFonts w:ascii="Trebuchet MS" w:eastAsia="Calibri" w:hAnsi="Trebuchet MS"/>
                <w:color w:val="000000"/>
                <w:sz w:val="22"/>
                <w:szCs w:val="22"/>
                <w:lang w:val="en-GB"/>
              </w:rPr>
              <w:t>fost</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evaluată</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pe</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parcursul</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ambelor</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perioade</w:t>
            </w:r>
            <w:proofErr w:type="spellEnd"/>
            <w:r w:rsidR="00AC7718" w:rsidRPr="00AF71F2">
              <w:rPr>
                <w:rFonts w:ascii="Trebuchet MS" w:eastAsia="Calibri" w:hAnsi="Trebuchet MS"/>
                <w:color w:val="000000"/>
                <w:sz w:val="22"/>
                <w:szCs w:val="22"/>
                <w:lang w:val="en-GB"/>
              </w:rPr>
              <w:t xml:space="preserve"> de </w:t>
            </w:r>
            <w:proofErr w:type="spellStart"/>
            <w:r w:rsidR="00AC7718" w:rsidRPr="00AF71F2">
              <w:rPr>
                <w:rFonts w:ascii="Trebuchet MS" w:eastAsia="Calibri" w:hAnsi="Trebuchet MS"/>
                <w:color w:val="000000"/>
                <w:sz w:val="22"/>
                <w:szCs w:val="22"/>
                <w:lang w:val="en-GB"/>
              </w:rPr>
              <w:t>programare</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atât</w:t>
            </w:r>
            <w:proofErr w:type="spellEnd"/>
            <w:r w:rsidR="00AC7718" w:rsidRPr="00AF71F2">
              <w:rPr>
                <w:rFonts w:ascii="Trebuchet MS" w:eastAsia="Calibri" w:hAnsi="Trebuchet MS"/>
                <w:color w:val="000000"/>
                <w:sz w:val="22"/>
                <w:szCs w:val="22"/>
                <w:lang w:val="en-GB"/>
              </w:rPr>
              <w:t xml:space="preserve"> de </w:t>
            </w:r>
            <w:proofErr w:type="spellStart"/>
            <w:r w:rsidR="00AC7718" w:rsidRPr="00AF71F2">
              <w:rPr>
                <w:rFonts w:ascii="Trebuchet MS" w:eastAsia="Calibri" w:hAnsi="Trebuchet MS"/>
                <w:color w:val="000000"/>
                <w:sz w:val="22"/>
                <w:szCs w:val="22"/>
                <w:lang w:val="en-GB"/>
              </w:rPr>
              <w:t>către</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Autoritatea</w:t>
            </w:r>
            <w:proofErr w:type="spellEnd"/>
            <w:r w:rsidR="00AC7718" w:rsidRPr="00AF71F2">
              <w:rPr>
                <w:rFonts w:ascii="Trebuchet MS" w:eastAsia="Calibri" w:hAnsi="Trebuchet MS"/>
                <w:color w:val="000000"/>
                <w:sz w:val="22"/>
                <w:szCs w:val="22"/>
                <w:lang w:val="en-GB"/>
              </w:rPr>
              <w:t xml:space="preserve"> de Audit </w:t>
            </w:r>
            <w:proofErr w:type="spellStart"/>
            <w:r w:rsidR="00AC7718" w:rsidRPr="00AF71F2">
              <w:rPr>
                <w:rFonts w:ascii="Trebuchet MS" w:eastAsia="Calibri" w:hAnsi="Trebuchet MS"/>
                <w:color w:val="000000"/>
                <w:sz w:val="22"/>
                <w:szCs w:val="22"/>
                <w:lang w:val="en-GB"/>
              </w:rPr>
              <w:t>cât</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și</w:t>
            </w:r>
            <w:proofErr w:type="spellEnd"/>
            <w:r w:rsidR="00AC7718" w:rsidRPr="00AF71F2">
              <w:rPr>
                <w:rFonts w:ascii="Trebuchet MS" w:eastAsia="Calibri" w:hAnsi="Trebuchet MS"/>
                <w:color w:val="000000"/>
                <w:sz w:val="22"/>
                <w:szCs w:val="22"/>
                <w:lang w:val="en-GB"/>
              </w:rPr>
              <w:t xml:space="preserve"> de </w:t>
            </w:r>
            <w:proofErr w:type="spellStart"/>
            <w:r w:rsidR="00AC7718" w:rsidRPr="00AF71F2">
              <w:rPr>
                <w:rFonts w:ascii="Trebuchet MS" w:eastAsia="Calibri" w:hAnsi="Trebuchet MS"/>
                <w:color w:val="000000"/>
                <w:sz w:val="22"/>
                <w:szCs w:val="22"/>
                <w:lang w:val="en-GB"/>
              </w:rPr>
              <w:t>către</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Comisia</w:t>
            </w:r>
            <w:proofErr w:type="spellEnd"/>
            <w:r w:rsidR="00AC7718" w:rsidRPr="00AF71F2">
              <w:rPr>
                <w:rFonts w:ascii="Trebuchet MS" w:eastAsia="Calibri" w:hAnsi="Trebuchet MS"/>
                <w:color w:val="000000"/>
                <w:sz w:val="22"/>
                <w:szCs w:val="22"/>
                <w:lang w:val="en-GB"/>
              </w:rPr>
              <w:t xml:space="preserve"> </w:t>
            </w:r>
            <w:proofErr w:type="spellStart"/>
            <w:r w:rsidR="00AC7718" w:rsidRPr="00AF71F2">
              <w:rPr>
                <w:rFonts w:ascii="Trebuchet MS" w:eastAsia="Calibri" w:hAnsi="Trebuchet MS"/>
                <w:color w:val="000000"/>
                <w:sz w:val="22"/>
                <w:szCs w:val="22"/>
                <w:lang w:val="en-GB"/>
              </w:rPr>
              <w:t>Europeană</w:t>
            </w:r>
            <w:proofErr w:type="spellEnd"/>
            <w:r w:rsidR="00AC7718" w:rsidRPr="00AF71F2">
              <w:rPr>
                <w:rFonts w:ascii="Trebuchet MS" w:eastAsia="Calibri" w:hAnsi="Trebuchet MS"/>
                <w:color w:val="000000"/>
                <w:sz w:val="22"/>
                <w:szCs w:val="22"/>
                <w:lang w:val="en-GB"/>
              </w:rPr>
              <w:t>.</w:t>
            </w:r>
          </w:p>
          <w:p w:rsidR="00501EF7" w:rsidRPr="00AF71F2" w:rsidRDefault="00721526" w:rsidP="00292E7A">
            <w:pPr>
              <w:jc w:val="both"/>
              <w:rPr>
                <w:rFonts w:ascii="Trebuchet MS" w:eastAsia="Calibri" w:hAnsi="Trebuchet MS"/>
                <w:color w:val="000000"/>
                <w:sz w:val="22"/>
                <w:szCs w:val="22"/>
              </w:rPr>
            </w:pPr>
            <w:r w:rsidRPr="00AF71F2">
              <w:rPr>
                <w:rFonts w:ascii="Trebuchet MS" w:eastAsia="Calibri" w:hAnsi="Trebuchet MS"/>
                <w:color w:val="000000"/>
                <w:sz w:val="22"/>
                <w:szCs w:val="22"/>
              </w:rPr>
              <w:t xml:space="preserve">    </w:t>
            </w:r>
            <w:r w:rsidR="00501EF7" w:rsidRPr="00AF71F2">
              <w:rPr>
                <w:rFonts w:ascii="Trebuchet MS" w:eastAsia="Calibri" w:hAnsi="Trebuchet MS"/>
                <w:color w:val="000000"/>
                <w:sz w:val="22"/>
                <w:szCs w:val="22"/>
              </w:rPr>
              <w:t xml:space="preserve">Din această perspectivă </w:t>
            </w:r>
            <w:r w:rsidR="004C67BC" w:rsidRPr="00AF71F2">
              <w:rPr>
                <w:rFonts w:ascii="Trebuchet MS" w:eastAsia="Calibri" w:hAnsi="Trebuchet MS"/>
                <w:color w:val="000000"/>
                <w:sz w:val="22"/>
                <w:szCs w:val="22"/>
              </w:rPr>
              <w:t>ADR</w:t>
            </w:r>
            <w:r w:rsidR="00501EF7" w:rsidRPr="00AF71F2">
              <w:rPr>
                <w:rFonts w:ascii="Trebuchet MS" w:eastAsia="Calibri" w:hAnsi="Trebuchet MS"/>
                <w:color w:val="000000"/>
                <w:sz w:val="22"/>
                <w:szCs w:val="22"/>
              </w:rPr>
              <w:t xml:space="preserve"> au acumulat o experiență </w:t>
            </w:r>
            <w:r w:rsidR="002C69F1" w:rsidRPr="00AF71F2">
              <w:rPr>
                <w:rFonts w:ascii="Trebuchet MS" w:eastAsia="Calibri" w:hAnsi="Trebuchet MS"/>
                <w:color w:val="000000"/>
                <w:sz w:val="22"/>
                <w:szCs w:val="22"/>
              </w:rPr>
              <w:t>valoroasă</w:t>
            </w:r>
            <w:r w:rsidR="00501EF7" w:rsidRPr="00AF71F2">
              <w:rPr>
                <w:rFonts w:ascii="Trebuchet MS" w:eastAsia="Calibri" w:hAnsi="Trebuchet MS"/>
                <w:color w:val="000000"/>
                <w:sz w:val="22"/>
                <w:szCs w:val="22"/>
              </w:rPr>
              <w:t xml:space="preserve"> și unică </w:t>
            </w:r>
            <w:r w:rsidR="004E7CE0" w:rsidRPr="00AF71F2">
              <w:rPr>
                <w:rFonts w:ascii="Trebuchet MS" w:eastAsia="Calibri" w:hAnsi="Trebuchet MS"/>
                <w:color w:val="000000"/>
                <w:sz w:val="22"/>
                <w:szCs w:val="22"/>
              </w:rPr>
              <w:t>î</w:t>
            </w:r>
            <w:r w:rsidR="00501EF7" w:rsidRPr="00AF71F2">
              <w:rPr>
                <w:rFonts w:ascii="Trebuchet MS" w:eastAsia="Calibri" w:hAnsi="Trebuchet MS"/>
                <w:color w:val="000000"/>
                <w:sz w:val="22"/>
                <w:szCs w:val="22"/>
              </w:rPr>
              <w:t xml:space="preserve">n România prin procesarea a peste 25.000 de proiecte publice </w:t>
            </w:r>
            <w:r w:rsidR="004E7CE0" w:rsidRPr="00AF71F2">
              <w:rPr>
                <w:rFonts w:ascii="Trebuchet MS" w:eastAsia="Calibri" w:hAnsi="Trebuchet MS"/>
                <w:color w:val="000000"/>
                <w:sz w:val="22"/>
                <w:szCs w:val="22"/>
              </w:rPr>
              <w:t>ș</w:t>
            </w:r>
            <w:r w:rsidR="00501EF7" w:rsidRPr="00AF71F2">
              <w:rPr>
                <w:rFonts w:ascii="Trebuchet MS" w:eastAsia="Calibri" w:hAnsi="Trebuchet MS"/>
                <w:color w:val="000000"/>
                <w:sz w:val="22"/>
                <w:szCs w:val="22"/>
              </w:rPr>
              <w:t xml:space="preserve">i private transformate </w:t>
            </w:r>
            <w:r w:rsidR="004E7CE0" w:rsidRPr="00AF71F2">
              <w:rPr>
                <w:rFonts w:ascii="Trebuchet MS" w:eastAsia="Calibri" w:hAnsi="Trebuchet MS"/>
                <w:color w:val="000000"/>
                <w:sz w:val="22"/>
                <w:szCs w:val="22"/>
              </w:rPr>
              <w:t>î</w:t>
            </w:r>
            <w:r w:rsidR="00501EF7" w:rsidRPr="00AF71F2">
              <w:rPr>
                <w:rFonts w:ascii="Trebuchet MS" w:eastAsia="Calibri" w:hAnsi="Trebuchet MS"/>
                <w:color w:val="000000"/>
                <w:sz w:val="22"/>
                <w:szCs w:val="22"/>
              </w:rPr>
              <w:t>n peste 10.000 de contracte implementate și prin generarea directă sau indirectă a peste 75.000 de locuri de muncă la nivelul regiunilor de dezvoltare.</w:t>
            </w:r>
          </w:p>
          <w:p w:rsidR="0032430D" w:rsidRPr="00AF71F2" w:rsidRDefault="0032430D" w:rsidP="00292E7A">
            <w:pPr>
              <w:jc w:val="both"/>
              <w:rPr>
                <w:rFonts w:ascii="Trebuchet MS" w:eastAsia="Calibri" w:hAnsi="Trebuchet MS"/>
                <w:color w:val="000000"/>
                <w:sz w:val="22"/>
                <w:szCs w:val="22"/>
              </w:rPr>
            </w:pPr>
            <w:r w:rsidRPr="00AF71F2">
              <w:rPr>
                <w:rFonts w:ascii="Trebuchet MS" w:hAnsi="Trebuchet MS" w:cs="Arial"/>
                <w:color w:val="000000"/>
                <w:sz w:val="22"/>
                <w:szCs w:val="22"/>
              </w:rPr>
              <w:t>De asemenea ADR au fost implicate activ inclusiv în elaborarea ghidurilor solicitantului, având un rol proactiv în ceea ce privește propunerea direcțiilor de finanțare, acestea cunoscând îndeaproape nevoile locale și regionale.</w:t>
            </w:r>
          </w:p>
          <w:p w:rsidR="00F46C4C" w:rsidRPr="00AF71F2" w:rsidRDefault="0032430D" w:rsidP="00F46C4C">
            <w:pPr>
              <w:jc w:val="both"/>
              <w:rPr>
                <w:rFonts w:ascii="Trebuchet MS" w:hAnsi="Trebuchet MS" w:cs="Arial"/>
                <w:color w:val="000000"/>
                <w:sz w:val="22"/>
                <w:szCs w:val="22"/>
              </w:rPr>
            </w:pPr>
            <w:r w:rsidRPr="00AF71F2">
              <w:rPr>
                <w:rFonts w:ascii="Trebuchet MS" w:hAnsi="Trebuchet MS" w:cs="Arial"/>
                <w:color w:val="000000"/>
                <w:sz w:val="22"/>
                <w:szCs w:val="22"/>
              </w:rPr>
              <w:t xml:space="preserve">   Ținând cont de ex</w:t>
            </w:r>
            <w:r w:rsidR="00D8035F" w:rsidRPr="00AF71F2">
              <w:rPr>
                <w:rFonts w:ascii="Trebuchet MS" w:hAnsi="Trebuchet MS" w:cs="Arial"/>
                <w:color w:val="000000"/>
                <w:sz w:val="22"/>
                <w:szCs w:val="22"/>
              </w:rPr>
              <w:t>periența dobândită până în prezent, precum și de pregătirea și instruirea continuă a personalului, inclusiv în</w:t>
            </w:r>
            <w:r w:rsidR="00F46C4C" w:rsidRPr="00AF71F2">
              <w:rPr>
                <w:rFonts w:ascii="Trebuchet MS" w:hAnsi="Trebuchet MS" w:cs="Arial"/>
                <w:color w:val="000000"/>
                <w:sz w:val="22"/>
                <w:szCs w:val="22"/>
              </w:rPr>
              <w:t xml:space="preserve"> </w:t>
            </w:r>
            <w:r w:rsidR="00D8035F" w:rsidRPr="00AF71F2">
              <w:rPr>
                <w:rFonts w:ascii="Trebuchet MS" w:hAnsi="Trebuchet MS" w:cs="Arial"/>
                <w:color w:val="000000"/>
                <w:sz w:val="22"/>
                <w:szCs w:val="22"/>
              </w:rPr>
              <w:t xml:space="preserve">domenii precum: </w:t>
            </w:r>
            <w:r w:rsidR="00F46C4C" w:rsidRPr="00AF71F2">
              <w:rPr>
                <w:rFonts w:ascii="Trebuchet MS" w:hAnsi="Trebuchet MS" w:cs="Arial"/>
                <w:color w:val="000000"/>
                <w:sz w:val="22"/>
                <w:szCs w:val="22"/>
              </w:rPr>
              <w:t>ajutor</w:t>
            </w:r>
            <w:r w:rsidR="00D8035F" w:rsidRPr="00AF71F2">
              <w:rPr>
                <w:rFonts w:ascii="Trebuchet MS" w:hAnsi="Trebuchet MS" w:cs="Arial"/>
                <w:color w:val="000000"/>
                <w:sz w:val="22"/>
                <w:szCs w:val="22"/>
              </w:rPr>
              <w:t>ul</w:t>
            </w:r>
            <w:r w:rsidR="00F46C4C" w:rsidRPr="00AF71F2">
              <w:rPr>
                <w:rFonts w:ascii="Trebuchet MS" w:hAnsi="Trebuchet MS" w:cs="Arial"/>
                <w:color w:val="000000"/>
                <w:sz w:val="22"/>
                <w:szCs w:val="22"/>
              </w:rPr>
              <w:t xml:space="preserve"> de stat, nereguli, soluționarea contestațiilor, programare și evaluare program</w:t>
            </w:r>
            <w:r w:rsidRPr="00AF71F2">
              <w:rPr>
                <w:rFonts w:ascii="Trebuchet MS" w:hAnsi="Trebuchet MS" w:cs="Arial"/>
                <w:color w:val="000000"/>
                <w:sz w:val="22"/>
                <w:szCs w:val="22"/>
              </w:rPr>
              <w:t>,</w:t>
            </w:r>
            <w:r w:rsidR="00980DA7" w:rsidRPr="00AF71F2">
              <w:rPr>
                <w:rFonts w:ascii="Trebuchet MS" w:hAnsi="Trebuchet MS" w:cs="Arial"/>
                <w:color w:val="000000"/>
                <w:sz w:val="22"/>
                <w:szCs w:val="22"/>
              </w:rPr>
              <w:t xml:space="preserve"> ADR</w:t>
            </w:r>
            <w:r w:rsidR="00D8035F" w:rsidRPr="00AF71F2">
              <w:rPr>
                <w:rFonts w:ascii="Trebuchet MS" w:hAnsi="Trebuchet MS" w:cs="Arial"/>
                <w:color w:val="000000"/>
                <w:sz w:val="22"/>
                <w:szCs w:val="22"/>
              </w:rPr>
              <w:t xml:space="preserve"> au capacitatea </w:t>
            </w:r>
            <w:r w:rsidRPr="00AF71F2">
              <w:rPr>
                <w:rFonts w:ascii="Trebuchet MS" w:hAnsi="Trebuchet MS" w:cs="Arial"/>
                <w:color w:val="000000"/>
                <w:sz w:val="22"/>
                <w:szCs w:val="22"/>
              </w:rPr>
              <w:t>necesară</w:t>
            </w:r>
            <w:r w:rsidR="00D8035F" w:rsidRPr="00AF71F2">
              <w:rPr>
                <w:rFonts w:ascii="Trebuchet MS" w:hAnsi="Trebuchet MS" w:cs="Arial"/>
                <w:color w:val="000000"/>
                <w:sz w:val="22"/>
                <w:szCs w:val="22"/>
              </w:rPr>
              <w:t xml:space="preserve"> pentru a îndeplini rolul de Autoritate de Management pentru viitoarea perioadă de programare</w:t>
            </w:r>
            <w:r w:rsidR="00F46C4C" w:rsidRPr="00AF71F2">
              <w:rPr>
                <w:rFonts w:ascii="Trebuchet MS" w:hAnsi="Trebuchet MS" w:cs="Arial"/>
                <w:color w:val="000000"/>
                <w:sz w:val="22"/>
                <w:szCs w:val="22"/>
              </w:rPr>
              <w:t xml:space="preserve">. </w:t>
            </w:r>
          </w:p>
          <w:p w:rsidR="00501EF7" w:rsidRPr="00AF71F2" w:rsidRDefault="0032430D" w:rsidP="0032430D">
            <w:pPr>
              <w:jc w:val="both"/>
              <w:rPr>
                <w:rFonts w:ascii="Trebuchet MS" w:eastAsia="Calibri" w:hAnsi="Trebuchet MS"/>
                <w:color w:val="000000"/>
                <w:sz w:val="22"/>
                <w:szCs w:val="22"/>
              </w:rPr>
            </w:pPr>
            <w:r w:rsidRPr="00AF71F2">
              <w:rPr>
                <w:rFonts w:ascii="Trebuchet MS" w:hAnsi="Trebuchet MS" w:cs="Arial"/>
                <w:color w:val="000000"/>
                <w:sz w:val="22"/>
                <w:szCs w:val="22"/>
              </w:rPr>
              <w:t xml:space="preserve">   ADR dispun de resurse specifice activităților de planificare și programare, precum și de implementare de proiecte de dezvoltare socio-economică. În cadrul fiecărui ADR funcționează un departament de planificare și programare, cu o experiență de 20 de ani în ce privește elaborarea și implementarea de planuri de dezvoltare, personalul din cadrul său putând contribui activ la elaborarea programelor operaționale.</w:t>
            </w:r>
          </w:p>
          <w:p w:rsidR="00501EF7" w:rsidRPr="00AF71F2" w:rsidRDefault="00721526" w:rsidP="00292E7A">
            <w:pPr>
              <w:jc w:val="both"/>
              <w:rPr>
                <w:rFonts w:ascii="Trebuchet MS" w:eastAsia="Calibri" w:hAnsi="Trebuchet MS"/>
                <w:color w:val="000000"/>
                <w:sz w:val="22"/>
                <w:szCs w:val="22"/>
              </w:rPr>
            </w:pPr>
            <w:r w:rsidRPr="00AF71F2">
              <w:rPr>
                <w:rFonts w:ascii="Trebuchet MS" w:eastAsia="Calibri" w:hAnsi="Trebuchet MS"/>
                <w:color w:val="000000"/>
                <w:sz w:val="22"/>
                <w:szCs w:val="22"/>
              </w:rPr>
              <w:t xml:space="preserve">   </w:t>
            </w:r>
            <w:r w:rsidR="004C67BC" w:rsidRPr="00AF71F2">
              <w:rPr>
                <w:rFonts w:ascii="Trebuchet MS" w:eastAsia="Calibri" w:hAnsi="Trebuchet MS"/>
                <w:color w:val="000000"/>
                <w:sz w:val="22"/>
                <w:szCs w:val="22"/>
              </w:rPr>
              <w:t>ADR</w:t>
            </w:r>
            <w:r w:rsidR="00501EF7" w:rsidRPr="00AF71F2">
              <w:rPr>
                <w:rFonts w:ascii="Trebuchet MS" w:eastAsia="Calibri" w:hAnsi="Trebuchet MS"/>
                <w:color w:val="000000"/>
                <w:sz w:val="22"/>
                <w:szCs w:val="22"/>
              </w:rPr>
              <w:t xml:space="preserve"> se remarcă printr-un sprijin constant acordat mediului de afaceri de la nivel regional, fiind implicate în constituirea și funcționarea unor clustere economice, un set integrat de servicii de informare, sprijin și consiliere, pentru a ajuta IMM-urile să exploateze oportunitățile europene de dezvoltare a afacerilor prin Enterprises Europe Network, gestionarea de structuri suport pentru afaceri, participarea ca lider sau partener în proiecte europene relevante pentru specificul regional. </w:t>
            </w:r>
          </w:p>
          <w:p w:rsidR="00501EF7" w:rsidRPr="00AF71F2" w:rsidRDefault="00980DA7" w:rsidP="00292E7A">
            <w:pPr>
              <w:jc w:val="both"/>
              <w:rPr>
                <w:rFonts w:ascii="Trebuchet MS" w:eastAsia="Calibri" w:hAnsi="Trebuchet MS"/>
                <w:color w:val="000000"/>
                <w:sz w:val="22"/>
                <w:szCs w:val="22"/>
              </w:rPr>
            </w:pPr>
            <w:r w:rsidRPr="00AF71F2">
              <w:rPr>
                <w:rFonts w:ascii="Trebuchet MS" w:eastAsia="Calibri" w:hAnsi="Trebuchet MS"/>
                <w:color w:val="000000"/>
                <w:sz w:val="22"/>
                <w:szCs w:val="22"/>
              </w:rPr>
              <w:lastRenderedPageBreak/>
              <w:t xml:space="preserve">    </w:t>
            </w:r>
            <w:r w:rsidR="00442851" w:rsidRPr="00AF71F2">
              <w:rPr>
                <w:rFonts w:ascii="Trebuchet MS" w:eastAsia="Calibri" w:hAnsi="Trebuchet MS"/>
                <w:color w:val="000000"/>
                <w:sz w:val="22"/>
                <w:szCs w:val="22"/>
              </w:rPr>
              <w:t>A</w:t>
            </w:r>
            <w:r w:rsidR="00501EF7" w:rsidRPr="00AF71F2">
              <w:rPr>
                <w:rFonts w:ascii="Trebuchet MS" w:eastAsia="Calibri" w:hAnsi="Trebuchet MS"/>
                <w:color w:val="000000"/>
                <w:sz w:val="22"/>
                <w:szCs w:val="22"/>
              </w:rPr>
              <w:t xml:space="preserve">gențiile pentru dezvoltare regională au </w:t>
            </w:r>
            <w:r w:rsidR="00442851" w:rsidRPr="00AF71F2">
              <w:rPr>
                <w:rFonts w:ascii="Trebuchet MS" w:eastAsia="Calibri" w:hAnsi="Trebuchet MS"/>
                <w:color w:val="000000"/>
                <w:sz w:val="22"/>
                <w:szCs w:val="22"/>
              </w:rPr>
              <w:t xml:space="preserve">derulat activități care au avut drept consecință participarea </w:t>
            </w:r>
            <w:r w:rsidR="00501EF7" w:rsidRPr="00AF71F2">
              <w:rPr>
                <w:rFonts w:ascii="Trebuchet MS" w:eastAsia="Calibri" w:hAnsi="Trebuchet MS"/>
                <w:color w:val="000000"/>
                <w:sz w:val="22"/>
                <w:szCs w:val="22"/>
              </w:rPr>
              <w:t xml:space="preserve"> regiunilor în cadrul unor programe precum: Transnațional Dunărea, Interreg Europe, Orizont Europe. </w:t>
            </w:r>
          </w:p>
          <w:p w:rsidR="00501EF7" w:rsidRPr="00AF71F2" w:rsidRDefault="00721526" w:rsidP="00721526">
            <w:pPr>
              <w:jc w:val="both"/>
              <w:rPr>
                <w:rFonts w:ascii="Trebuchet MS" w:hAnsi="Trebuchet MS"/>
                <w:color w:val="000000"/>
                <w:sz w:val="22"/>
                <w:szCs w:val="22"/>
              </w:rPr>
            </w:pPr>
            <w:r w:rsidRPr="00AF71F2">
              <w:rPr>
                <w:rFonts w:ascii="Trebuchet MS" w:hAnsi="Trebuchet MS"/>
                <w:color w:val="000000"/>
                <w:sz w:val="22"/>
                <w:szCs w:val="22"/>
              </w:rPr>
              <w:t xml:space="preserve">   </w:t>
            </w:r>
            <w:r w:rsidR="00980DA7" w:rsidRPr="00AF71F2">
              <w:rPr>
                <w:rFonts w:ascii="Trebuchet MS" w:hAnsi="Trebuchet MS"/>
                <w:color w:val="000000"/>
                <w:sz w:val="22"/>
                <w:szCs w:val="22"/>
              </w:rPr>
              <w:t xml:space="preserve"> </w:t>
            </w:r>
            <w:r w:rsidR="00501EF7" w:rsidRPr="00AF71F2">
              <w:rPr>
                <w:rFonts w:ascii="Trebuchet MS" w:hAnsi="Trebuchet MS"/>
                <w:color w:val="000000"/>
                <w:sz w:val="22"/>
                <w:szCs w:val="22"/>
              </w:rPr>
              <w:t>În acest context, ca urmare a discuțiilor cu Comisia Europeană</w:t>
            </w:r>
            <w:r w:rsidR="004C67BC" w:rsidRPr="00AF71F2">
              <w:rPr>
                <w:rFonts w:ascii="Trebuchet MS" w:hAnsi="Trebuchet MS"/>
                <w:color w:val="000000"/>
                <w:sz w:val="22"/>
                <w:szCs w:val="22"/>
              </w:rPr>
              <w:t>,</w:t>
            </w:r>
            <w:r w:rsidR="00501EF7" w:rsidRPr="00AF71F2">
              <w:rPr>
                <w:rFonts w:ascii="Trebuchet MS" w:hAnsi="Trebuchet MS"/>
                <w:color w:val="000000"/>
                <w:sz w:val="22"/>
                <w:szCs w:val="22"/>
              </w:rPr>
              <w:t xml:space="preserve"> România a decis inițierea demersurilor în vederea creării unei noi arhitecturi necesare pentru realizarea </w:t>
            </w:r>
            <w:r w:rsidR="001F350B" w:rsidRPr="00AF71F2">
              <w:rPr>
                <w:rFonts w:ascii="Trebuchet MS" w:hAnsi="Trebuchet MS"/>
                <w:color w:val="000000"/>
                <w:sz w:val="22"/>
                <w:szCs w:val="22"/>
              </w:rPr>
              <w:t>eficientizării</w:t>
            </w:r>
            <w:r w:rsidR="00501EF7" w:rsidRPr="00AF71F2">
              <w:rPr>
                <w:rFonts w:ascii="Trebuchet MS" w:hAnsi="Trebuchet MS"/>
                <w:color w:val="000000"/>
                <w:sz w:val="22"/>
                <w:szCs w:val="22"/>
              </w:rPr>
              <w:t xml:space="preserve"> managementului fondurilor </w:t>
            </w:r>
            <w:r w:rsidR="001275A6">
              <w:rPr>
                <w:rFonts w:ascii="Trebuchet MS" w:hAnsi="Trebuchet MS"/>
                <w:sz w:val="22"/>
                <w:szCs w:val="22"/>
              </w:rPr>
              <w:t xml:space="preserve"> externe nerambursabile</w:t>
            </w:r>
            <w:r w:rsidR="001275A6" w:rsidRPr="00AF71F2" w:rsidDel="001275A6">
              <w:rPr>
                <w:rFonts w:ascii="Trebuchet MS" w:hAnsi="Trebuchet MS"/>
                <w:color w:val="000000"/>
                <w:sz w:val="22"/>
                <w:szCs w:val="22"/>
              </w:rPr>
              <w:t xml:space="preserve"> </w:t>
            </w:r>
            <w:r w:rsidR="00501EF7" w:rsidRPr="00AF71F2">
              <w:rPr>
                <w:rFonts w:ascii="Trebuchet MS" w:hAnsi="Trebuchet MS"/>
                <w:color w:val="000000"/>
                <w:sz w:val="22"/>
                <w:szCs w:val="22"/>
              </w:rPr>
              <w:t>aferente perioadei 2021-2027.</w:t>
            </w:r>
            <w:r w:rsidR="00525DD5">
              <w:t xml:space="preserve"> </w:t>
            </w:r>
            <w:r w:rsidR="00525DD5" w:rsidRPr="00AF71F2">
              <w:rPr>
                <w:rFonts w:ascii="Trebuchet MS" w:hAnsi="Trebuchet MS"/>
                <w:color w:val="000000"/>
                <w:sz w:val="22"/>
                <w:szCs w:val="22"/>
              </w:rPr>
              <w:t>Comisia Europeană a subliniat la data de 15 ianuarie 2020 că, indiferent de decizia politică privind arhitectura instituțională, nu va mai aproba un Program Operațional dedicat intervențiilor la nivel regional similar celui actual, implementat la nivel național, supercentralizat și cu o diversitate de sectoare care exced competentei Ministerului Lucrărilor Publice Dezvoltării și Administrației şi nici crearea unui program de anvergura Programului Operațional Regional (POR) actual care ridică probleme în implementare.</w:t>
            </w:r>
          </w:p>
          <w:p w:rsidR="00721526" w:rsidRPr="00AF71F2" w:rsidRDefault="00721526" w:rsidP="00BA0DE8">
            <w:pPr>
              <w:jc w:val="both"/>
              <w:rPr>
                <w:rFonts w:ascii="Trebuchet MS" w:hAnsi="Trebuchet MS"/>
                <w:color w:val="000000"/>
                <w:sz w:val="22"/>
                <w:szCs w:val="22"/>
              </w:rPr>
            </w:pPr>
            <w:r w:rsidRPr="00AF71F2">
              <w:rPr>
                <w:rFonts w:ascii="Trebuchet MS" w:hAnsi="Trebuchet MS"/>
                <w:color w:val="000000"/>
                <w:sz w:val="22"/>
                <w:szCs w:val="22"/>
              </w:rPr>
              <w:t xml:space="preserve">    În acest sens, la data de 27.02.2020 a fost aprobat de către Guvernul României Memorandumul cu tema Programele operaționale/naționale şi arhitectura instituțională de gestionare a fondurilor </w:t>
            </w:r>
            <w:r w:rsidR="001275A6">
              <w:rPr>
                <w:rFonts w:ascii="Trebuchet MS" w:hAnsi="Trebuchet MS"/>
                <w:sz w:val="22"/>
                <w:szCs w:val="22"/>
              </w:rPr>
              <w:t xml:space="preserve"> externe nerambursabile</w:t>
            </w:r>
            <w:r w:rsidR="001275A6" w:rsidRPr="00AF71F2" w:rsidDel="001275A6">
              <w:rPr>
                <w:rFonts w:ascii="Trebuchet MS" w:hAnsi="Trebuchet MS"/>
                <w:color w:val="000000"/>
                <w:sz w:val="22"/>
                <w:szCs w:val="22"/>
              </w:rPr>
              <w:t xml:space="preserve"> </w:t>
            </w:r>
            <w:r w:rsidRPr="00AF71F2">
              <w:rPr>
                <w:rFonts w:ascii="Trebuchet MS" w:hAnsi="Trebuchet MS"/>
                <w:color w:val="000000"/>
                <w:sz w:val="22"/>
                <w:szCs w:val="22"/>
              </w:rPr>
              <w:t xml:space="preserve">aferente Politicii de Coeziune 2021-2027, prin intermediul căruia se stabilește arhitectura instituțională care va asigura gestiunea și controlul fondurilor </w:t>
            </w:r>
            <w:r w:rsidR="00C667C0">
              <w:rPr>
                <w:rFonts w:ascii="Trebuchet MS" w:hAnsi="Trebuchet MS"/>
                <w:sz w:val="22"/>
                <w:szCs w:val="22"/>
              </w:rPr>
              <w:t xml:space="preserve"> externe nerambursabile</w:t>
            </w:r>
            <w:r w:rsidR="00C667C0" w:rsidRPr="00AF71F2" w:rsidDel="00C667C0">
              <w:rPr>
                <w:rFonts w:ascii="Trebuchet MS" w:hAnsi="Trebuchet MS"/>
                <w:color w:val="000000"/>
                <w:sz w:val="22"/>
                <w:szCs w:val="22"/>
              </w:rPr>
              <w:t xml:space="preserve"> </w:t>
            </w:r>
            <w:r w:rsidRPr="00AF71F2">
              <w:rPr>
                <w:rFonts w:ascii="Trebuchet MS" w:hAnsi="Trebuchet MS"/>
                <w:color w:val="000000"/>
                <w:sz w:val="22"/>
                <w:szCs w:val="22"/>
              </w:rPr>
              <w:t>alocate României în gestiune partajată, în exercițiul financiar 2021-2027.</w:t>
            </w:r>
          </w:p>
          <w:p w:rsidR="00721526" w:rsidRPr="00AF71F2" w:rsidRDefault="00721526" w:rsidP="00721526">
            <w:pPr>
              <w:jc w:val="both"/>
              <w:rPr>
                <w:rFonts w:ascii="Trebuchet MS" w:hAnsi="Trebuchet MS"/>
                <w:color w:val="000000"/>
                <w:sz w:val="22"/>
                <w:szCs w:val="22"/>
              </w:rPr>
            </w:pPr>
            <w:r w:rsidRPr="00AF71F2">
              <w:rPr>
                <w:rFonts w:ascii="Trebuchet MS" w:hAnsi="Trebuchet MS"/>
                <w:color w:val="000000"/>
                <w:sz w:val="22"/>
                <w:szCs w:val="22"/>
              </w:rPr>
              <w:t xml:space="preserve">    În vederea asigurării unei tranziții fără probleme de la perioada de programare 2014-2020 către viitoarea perioadă de programare 2021-2027, precum și pentru a asigura o continuitate a finanțărilor din bugetul Uniunii Europene se propune simplificarea anumitor aspecte pentru a veni în sprijinul beneficiarilor acestei politici, astfel încât să fie asigurate premisele unei utilizări eficiente și eficace a fondurilor </w:t>
            </w:r>
            <w:r w:rsidR="00C667C0">
              <w:rPr>
                <w:rFonts w:ascii="Trebuchet MS" w:hAnsi="Trebuchet MS"/>
                <w:sz w:val="22"/>
                <w:szCs w:val="22"/>
              </w:rPr>
              <w:t xml:space="preserve"> externe nerambursabile</w:t>
            </w:r>
            <w:r w:rsidRPr="00AF71F2">
              <w:rPr>
                <w:rFonts w:ascii="Trebuchet MS" w:hAnsi="Trebuchet MS"/>
                <w:color w:val="000000"/>
                <w:sz w:val="22"/>
                <w:szCs w:val="22"/>
              </w:rPr>
              <w:t>.</w:t>
            </w:r>
          </w:p>
          <w:p w:rsidR="00721526" w:rsidRPr="00AF71F2" w:rsidRDefault="00721526" w:rsidP="00721526">
            <w:pPr>
              <w:jc w:val="both"/>
              <w:rPr>
                <w:rFonts w:ascii="Trebuchet MS" w:hAnsi="Trebuchet MS"/>
                <w:color w:val="000000"/>
                <w:sz w:val="22"/>
                <w:szCs w:val="22"/>
              </w:rPr>
            </w:pPr>
          </w:p>
          <w:p w:rsidR="00721526" w:rsidRPr="00AF71F2" w:rsidRDefault="00721526" w:rsidP="00C13902">
            <w:pPr>
              <w:jc w:val="both"/>
              <w:rPr>
                <w:rFonts w:ascii="Trebuchet MS" w:hAnsi="Trebuchet MS"/>
                <w:color w:val="000000"/>
                <w:sz w:val="22"/>
                <w:szCs w:val="22"/>
              </w:rPr>
            </w:pPr>
            <w:r w:rsidRPr="00AF71F2">
              <w:rPr>
                <w:rFonts w:ascii="Trebuchet MS" w:hAnsi="Trebuchet MS"/>
                <w:color w:val="000000"/>
                <w:sz w:val="22"/>
                <w:szCs w:val="22"/>
              </w:rPr>
              <w:t xml:space="preserve">   Cadrul instituțional propus pentru perioada de programare 2021-2027, are la bază lecțiile învățate, o eficientizare a implementării și apropierea de beneficiari, cu scopul de a crește </w:t>
            </w:r>
            <w:r w:rsidRPr="00AF71F2">
              <w:rPr>
                <w:rFonts w:ascii="Trebuchet MS" w:hAnsi="Trebuchet MS"/>
                <w:i/>
                <w:color w:val="000000"/>
                <w:sz w:val="22"/>
                <w:szCs w:val="22"/>
              </w:rPr>
              <w:t>leadership</w:t>
            </w:r>
            <w:r w:rsidRPr="00AF71F2">
              <w:rPr>
                <w:rFonts w:ascii="Trebuchet MS" w:hAnsi="Trebuchet MS"/>
                <w:color w:val="000000"/>
                <w:sz w:val="22"/>
                <w:szCs w:val="22"/>
              </w:rPr>
              <w:t xml:space="preserve">-ul în implementarea fondurilor </w:t>
            </w:r>
            <w:r w:rsidR="00C667C0">
              <w:rPr>
                <w:rFonts w:ascii="Trebuchet MS" w:hAnsi="Trebuchet MS"/>
                <w:sz w:val="22"/>
                <w:szCs w:val="22"/>
              </w:rPr>
              <w:t xml:space="preserve"> externe nerambursabile</w:t>
            </w:r>
            <w:r w:rsidR="00C667C0" w:rsidRPr="00AF71F2" w:rsidDel="00C667C0">
              <w:rPr>
                <w:rFonts w:ascii="Trebuchet MS" w:hAnsi="Trebuchet MS"/>
                <w:color w:val="000000"/>
                <w:sz w:val="22"/>
                <w:szCs w:val="22"/>
              </w:rPr>
              <w:t xml:space="preserve"> </w:t>
            </w:r>
            <w:r w:rsidRPr="00AF71F2">
              <w:rPr>
                <w:rFonts w:ascii="Trebuchet MS" w:hAnsi="Trebuchet MS"/>
                <w:color w:val="000000"/>
                <w:sz w:val="22"/>
                <w:szCs w:val="22"/>
              </w:rPr>
              <w:t>și a limita dispersia de funcții în multe instituții.</w:t>
            </w:r>
          </w:p>
          <w:p w:rsidR="00721526" w:rsidRPr="00AF71F2" w:rsidRDefault="00721526" w:rsidP="00C13902">
            <w:pPr>
              <w:jc w:val="both"/>
              <w:rPr>
                <w:rFonts w:ascii="Trebuchet MS" w:hAnsi="Trebuchet MS"/>
                <w:color w:val="000000"/>
                <w:sz w:val="22"/>
                <w:szCs w:val="22"/>
              </w:rPr>
            </w:pPr>
            <w:r w:rsidRPr="00AF71F2">
              <w:rPr>
                <w:rFonts w:ascii="Trebuchet MS" w:hAnsi="Trebuchet MS"/>
                <w:color w:val="000000"/>
                <w:sz w:val="22"/>
                <w:szCs w:val="22"/>
              </w:rPr>
              <w:t xml:space="preserve">   Având în vedere experiența Ministerului Lucrărilor Publice, Dezvoltării și Administrației, ca instituție publică centrală responsabilă pentru elaborarea POR 2007-2013 și 2014-2020, prin prezentul act normativ se propune desemnarea unei structuri de specialitate din cadrul acestui minister care să asigure coordonarea unitară a autorităților de management de la nivelul Programelor Operaționale Regionale 2021-2027.</w:t>
            </w:r>
          </w:p>
          <w:p w:rsidR="00721526" w:rsidRPr="00AF71F2" w:rsidRDefault="00721526" w:rsidP="00E23B57">
            <w:pPr>
              <w:jc w:val="both"/>
              <w:rPr>
                <w:rFonts w:ascii="Trebuchet MS" w:hAnsi="Trebuchet MS"/>
                <w:color w:val="000000"/>
                <w:sz w:val="22"/>
                <w:szCs w:val="22"/>
              </w:rPr>
            </w:pPr>
          </w:p>
          <w:p w:rsidR="00721526" w:rsidRPr="00AF71F2" w:rsidRDefault="00721526" w:rsidP="00E23B57">
            <w:pPr>
              <w:jc w:val="both"/>
              <w:rPr>
                <w:rFonts w:ascii="Trebuchet MS" w:hAnsi="Trebuchet MS"/>
                <w:color w:val="000000"/>
                <w:sz w:val="22"/>
                <w:szCs w:val="22"/>
              </w:rPr>
            </w:pPr>
            <w:r w:rsidRPr="00AF71F2">
              <w:rPr>
                <w:rFonts w:ascii="Trebuchet MS" w:hAnsi="Trebuchet MS"/>
                <w:color w:val="000000"/>
                <w:sz w:val="22"/>
                <w:szCs w:val="22"/>
              </w:rPr>
              <w:t xml:space="preserve">   Raportat la poziția Comisiei Europene exprimată în mod clar la data de 15 ianuarie 2020, se impune luarea de urgență a măsurilor necesare în vederea asigurării cadrului legal pentru instituirea arhitecturii instituționale propuse, prin eficientizarea managementului fondurilor </w:t>
            </w:r>
            <w:r w:rsidR="00C667C0">
              <w:rPr>
                <w:rFonts w:ascii="Trebuchet MS" w:hAnsi="Trebuchet MS"/>
                <w:sz w:val="22"/>
                <w:szCs w:val="22"/>
              </w:rPr>
              <w:t xml:space="preserve"> externe nerambursabile</w:t>
            </w:r>
            <w:r w:rsidR="00C667C0" w:rsidRPr="00AF71F2" w:rsidDel="00C667C0">
              <w:rPr>
                <w:rFonts w:ascii="Trebuchet MS" w:hAnsi="Trebuchet MS"/>
                <w:color w:val="000000"/>
                <w:sz w:val="22"/>
                <w:szCs w:val="22"/>
              </w:rPr>
              <w:t xml:space="preserve"> </w:t>
            </w:r>
            <w:r w:rsidRPr="00AF71F2">
              <w:rPr>
                <w:rFonts w:ascii="Trebuchet MS" w:hAnsi="Trebuchet MS"/>
                <w:color w:val="000000"/>
                <w:sz w:val="22"/>
                <w:szCs w:val="22"/>
              </w:rPr>
              <w:t>aferente perioadei 2021-2027, ținând cont de durata scurtă de timp rămasă până la începerea noii perioade de programare.</w:t>
            </w:r>
          </w:p>
          <w:p w:rsidR="00501EF7" w:rsidRPr="00AF71F2" w:rsidRDefault="00721526" w:rsidP="00721526">
            <w:pPr>
              <w:jc w:val="both"/>
              <w:rPr>
                <w:rFonts w:ascii="Trebuchet MS" w:hAnsi="Trebuchet MS"/>
                <w:color w:val="000000"/>
                <w:sz w:val="22"/>
                <w:szCs w:val="22"/>
              </w:rPr>
            </w:pPr>
            <w:r w:rsidRPr="00AF71F2">
              <w:rPr>
                <w:rFonts w:ascii="Trebuchet MS" w:hAnsi="Trebuchet MS"/>
                <w:color w:val="000000"/>
                <w:sz w:val="22"/>
                <w:szCs w:val="22"/>
              </w:rPr>
              <w:t xml:space="preserve">   Întârzierea adoptării măsurilor care se impun va conduce la depunerea cu întârziere a programelor operaționale regional și implicit la demararea cu întârziere a implementării acestora, având drept consecință un risc crescut de dezangajare a fondurilor </w:t>
            </w:r>
            <w:r w:rsidR="00C667C0">
              <w:rPr>
                <w:rFonts w:ascii="Trebuchet MS" w:hAnsi="Trebuchet MS"/>
                <w:sz w:val="22"/>
                <w:szCs w:val="22"/>
              </w:rPr>
              <w:t xml:space="preserve"> externe nerambursabile</w:t>
            </w:r>
            <w:r w:rsidR="00C667C0" w:rsidRPr="00AF71F2" w:rsidDel="00C667C0">
              <w:rPr>
                <w:rFonts w:ascii="Trebuchet MS" w:hAnsi="Trebuchet MS"/>
                <w:color w:val="000000"/>
                <w:sz w:val="22"/>
                <w:szCs w:val="22"/>
              </w:rPr>
              <w:t xml:space="preserve"> </w:t>
            </w:r>
            <w:r w:rsidRPr="00AF71F2">
              <w:rPr>
                <w:rFonts w:ascii="Trebuchet MS" w:hAnsi="Trebuchet MS"/>
                <w:color w:val="000000"/>
                <w:sz w:val="22"/>
                <w:szCs w:val="22"/>
              </w:rPr>
              <w:t xml:space="preserve"> alocate în perioada 2021 – 2022, luând în considerare aplicarea regulii n+2 pentru </w:t>
            </w:r>
            <w:r w:rsidRPr="00AF71F2">
              <w:rPr>
                <w:rFonts w:ascii="Trebuchet MS" w:hAnsi="Trebuchet MS"/>
                <w:color w:val="000000"/>
                <w:sz w:val="22"/>
                <w:szCs w:val="22"/>
              </w:rPr>
              <w:lastRenderedPageBreak/>
              <w:t>această perioadă și suprapunerea perioadelor de programare 2014-2020 cu 2021 - 2027.</w:t>
            </w:r>
          </w:p>
        </w:tc>
      </w:tr>
      <w:tr w:rsidR="00721526" w:rsidRPr="00501EF7" w:rsidTr="00F46C4C">
        <w:trPr>
          <w:trHeight w:val="710"/>
        </w:trPr>
        <w:tc>
          <w:tcPr>
            <w:tcW w:w="2235" w:type="dxa"/>
            <w:shd w:val="clear" w:color="auto" w:fill="auto"/>
          </w:tcPr>
          <w:p w:rsidR="00721526" w:rsidRPr="00721526" w:rsidRDefault="00721526" w:rsidP="00292E7A">
            <w:pPr>
              <w:spacing w:line="276" w:lineRule="auto"/>
              <w:rPr>
                <w:rFonts w:ascii="Trebuchet MS" w:hAnsi="Trebuchet MS"/>
                <w:sz w:val="22"/>
                <w:szCs w:val="22"/>
              </w:rPr>
            </w:pPr>
            <w:r>
              <w:rPr>
                <w:rFonts w:ascii="Trebuchet MS" w:hAnsi="Trebuchet MS"/>
                <w:sz w:val="22"/>
                <w:szCs w:val="22"/>
              </w:rPr>
              <w:lastRenderedPageBreak/>
              <w:t>1</w:t>
            </w:r>
            <w:r>
              <w:rPr>
                <w:rFonts w:ascii="Trebuchet MS" w:hAnsi="Trebuchet MS"/>
                <w:sz w:val="22"/>
                <w:szCs w:val="22"/>
                <w:vertAlign w:val="superscript"/>
              </w:rPr>
              <w:t>1</w:t>
            </w:r>
            <w:r>
              <w:rPr>
                <w:rFonts w:ascii="Trebuchet MS" w:hAnsi="Trebuchet MS"/>
                <w:sz w:val="22"/>
                <w:szCs w:val="22"/>
              </w:rPr>
              <w:t xml:space="preserve"> </w:t>
            </w:r>
            <w:r>
              <w:t xml:space="preserve"> </w:t>
            </w:r>
            <w:r w:rsidRPr="00721526">
              <w:rPr>
                <w:rFonts w:ascii="Trebuchet MS" w:hAnsi="Trebuchet MS"/>
                <w:sz w:val="22"/>
                <w:szCs w:val="22"/>
              </w:rPr>
              <w:t>În cazul proiectelor de acte normative care transpun legislaţie comunitară sau creează cadrul pentru aplicarea directă a acesteia, se vor specifica doar actele comunitare în cauză, însoţite de elementele de identificare ale acestora.</w:t>
            </w:r>
          </w:p>
        </w:tc>
        <w:tc>
          <w:tcPr>
            <w:tcW w:w="7593" w:type="dxa"/>
            <w:gridSpan w:val="7"/>
            <w:shd w:val="clear" w:color="auto" w:fill="auto"/>
          </w:tcPr>
          <w:p w:rsidR="00721526" w:rsidRPr="004F46B7" w:rsidRDefault="00721526" w:rsidP="004F46B7">
            <w:pPr>
              <w:jc w:val="both"/>
              <w:rPr>
                <w:rFonts w:ascii="Trebuchet MS" w:hAnsi="Trebuchet MS"/>
                <w:sz w:val="22"/>
                <w:szCs w:val="22"/>
              </w:rPr>
            </w:pPr>
            <w:r w:rsidRPr="00721526">
              <w:rPr>
                <w:rFonts w:ascii="Trebuchet MS" w:hAnsi="Trebuchet MS"/>
                <w:sz w:val="22"/>
                <w:szCs w:val="22"/>
              </w:rPr>
              <w:t>Proiectul de act normativ nu se referă la acest subiect.</w:t>
            </w:r>
          </w:p>
        </w:tc>
      </w:tr>
      <w:tr w:rsidR="00501EF7" w:rsidRPr="00501EF7" w:rsidTr="00F46C4C">
        <w:trPr>
          <w:trHeight w:val="710"/>
        </w:trPr>
        <w:tc>
          <w:tcPr>
            <w:tcW w:w="2235" w:type="dxa"/>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t>2. Schimbări preconizate</w:t>
            </w:r>
          </w:p>
        </w:tc>
        <w:tc>
          <w:tcPr>
            <w:tcW w:w="7593" w:type="dxa"/>
            <w:gridSpan w:val="7"/>
            <w:shd w:val="clear" w:color="auto" w:fill="auto"/>
          </w:tcPr>
          <w:p w:rsidR="004F46B7" w:rsidRPr="00BA0DE8" w:rsidRDefault="00721526" w:rsidP="004F46B7">
            <w:pPr>
              <w:jc w:val="both"/>
              <w:rPr>
                <w:rFonts w:ascii="Trebuchet MS" w:hAnsi="Trebuchet MS"/>
                <w:sz w:val="22"/>
                <w:szCs w:val="22"/>
              </w:rPr>
            </w:pPr>
            <w:r>
              <w:rPr>
                <w:rFonts w:ascii="Trebuchet MS" w:hAnsi="Trebuchet MS"/>
                <w:sz w:val="22"/>
                <w:szCs w:val="22"/>
              </w:rPr>
              <w:t xml:space="preserve">    </w:t>
            </w:r>
            <w:r w:rsidR="004F46B7" w:rsidRPr="00BA0DE8">
              <w:rPr>
                <w:rFonts w:ascii="Trebuchet MS" w:hAnsi="Trebuchet MS"/>
                <w:sz w:val="22"/>
                <w:szCs w:val="22"/>
              </w:rPr>
              <w:t>P</w:t>
            </w:r>
            <w:r w:rsidR="00C07C00" w:rsidRPr="00BA0DE8">
              <w:rPr>
                <w:rFonts w:ascii="Trebuchet MS" w:hAnsi="Trebuchet MS"/>
                <w:sz w:val="22"/>
                <w:szCs w:val="22"/>
              </w:rPr>
              <w:t xml:space="preserve">rezentul proiect de </w:t>
            </w:r>
            <w:r w:rsidR="004F46B7" w:rsidRPr="00BA0DE8">
              <w:rPr>
                <w:rFonts w:ascii="Trebuchet MS" w:hAnsi="Trebuchet MS"/>
                <w:sz w:val="22"/>
                <w:szCs w:val="22"/>
              </w:rPr>
              <w:t xml:space="preserve">act normativ  </w:t>
            </w:r>
            <w:r w:rsidR="00F72940" w:rsidRPr="00BA0DE8">
              <w:rPr>
                <w:rFonts w:ascii="Trebuchet MS" w:hAnsi="Trebuchet MS"/>
                <w:sz w:val="22"/>
                <w:szCs w:val="22"/>
              </w:rPr>
              <w:t>propune</w:t>
            </w:r>
            <w:r w:rsidR="004F46B7" w:rsidRPr="00BA0DE8">
              <w:rPr>
                <w:rFonts w:ascii="Trebuchet MS" w:hAnsi="Trebuchet MS"/>
                <w:sz w:val="22"/>
                <w:szCs w:val="22"/>
              </w:rPr>
              <w:t xml:space="preserve"> reglementarea cadrului instituțional de coordonare și gestionare a fondurilor </w:t>
            </w:r>
            <w:r w:rsidR="00081714">
              <w:rPr>
                <w:rFonts w:ascii="Trebuchet MS" w:hAnsi="Trebuchet MS"/>
                <w:sz w:val="22"/>
                <w:szCs w:val="22"/>
              </w:rPr>
              <w:t>externe nerambursabile</w:t>
            </w:r>
            <w:r w:rsidR="00081714" w:rsidRPr="00BA0DE8">
              <w:rPr>
                <w:rFonts w:ascii="Trebuchet MS" w:hAnsi="Trebuchet MS"/>
                <w:sz w:val="22"/>
                <w:szCs w:val="22"/>
              </w:rPr>
              <w:t xml:space="preserve"> </w:t>
            </w:r>
            <w:r w:rsidR="004F46B7" w:rsidRPr="00BA0DE8">
              <w:rPr>
                <w:rFonts w:ascii="Trebuchet MS" w:hAnsi="Trebuchet MS"/>
                <w:sz w:val="22"/>
                <w:szCs w:val="22"/>
              </w:rPr>
              <w:t>alocate României în perioada 2021 – 2027 prin Pr</w:t>
            </w:r>
            <w:r w:rsidR="00C80207" w:rsidRPr="00BA0DE8">
              <w:rPr>
                <w:rFonts w:ascii="Trebuchet MS" w:hAnsi="Trebuchet MS"/>
                <w:sz w:val="22"/>
                <w:szCs w:val="22"/>
              </w:rPr>
              <w:t xml:space="preserve">ogramele Operaționale Regionale </w:t>
            </w:r>
            <w:r w:rsidR="004F46B7" w:rsidRPr="00BA0DE8">
              <w:rPr>
                <w:rFonts w:ascii="Trebuchet MS" w:hAnsi="Trebuchet MS"/>
                <w:sz w:val="22"/>
                <w:szCs w:val="22"/>
              </w:rPr>
              <w:t xml:space="preserve">și se stabilesc principalele atribuții ale instituțiilor/structurilor implicate în coordonarea, gestionarea și controlul </w:t>
            </w:r>
            <w:r w:rsidR="00E04DEF" w:rsidRPr="00BA0DE8">
              <w:rPr>
                <w:rFonts w:ascii="Trebuchet MS" w:hAnsi="Trebuchet MS"/>
                <w:sz w:val="22"/>
                <w:szCs w:val="22"/>
              </w:rPr>
              <w:t xml:space="preserve">acestora. </w:t>
            </w:r>
          </w:p>
          <w:p w:rsidR="00E04DEF" w:rsidRPr="00BA0DE8" w:rsidRDefault="00E04DEF" w:rsidP="00292E7A">
            <w:pPr>
              <w:jc w:val="both"/>
              <w:rPr>
                <w:rFonts w:ascii="Trebuchet MS" w:hAnsi="Trebuchet MS"/>
                <w:sz w:val="22"/>
                <w:szCs w:val="22"/>
              </w:rPr>
            </w:pPr>
          </w:p>
          <w:p w:rsidR="00501EF7" w:rsidRPr="00BA0DE8" w:rsidRDefault="00721526"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Comisia Europeană a propus în mai 2018 un pachet legislativ privind perioada de programare 2021-2027, conform căruia alocările dedicate României din fondurile aferente Politicii de Coeziune însumează 30,566 miliarde euro (prețuri curente) și sunt distribuite pe fonduri astfel: </w:t>
            </w:r>
          </w:p>
          <w:p w:rsidR="00501EF7" w:rsidRPr="00BA0DE8" w:rsidRDefault="00501EF7" w:rsidP="00292E7A">
            <w:pPr>
              <w:numPr>
                <w:ilvl w:val="0"/>
                <w:numId w:val="14"/>
              </w:numPr>
              <w:contextualSpacing/>
              <w:jc w:val="both"/>
              <w:rPr>
                <w:rFonts w:ascii="Trebuchet MS" w:hAnsi="Trebuchet MS"/>
                <w:sz w:val="22"/>
                <w:szCs w:val="22"/>
              </w:rPr>
            </w:pPr>
            <w:r w:rsidRPr="00BA0DE8">
              <w:rPr>
                <w:rFonts w:ascii="Trebuchet MS" w:hAnsi="Trebuchet MS"/>
                <w:sz w:val="22"/>
                <w:szCs w:val="22"/>
              </w:rPr>
              <w:t>Fondul European de Dezvoltare Regională (FEDR): 17,715 miliarde euro, inclusiv 392 milioane euro pentru Cooperare Teritorială Europeană,</w:t>
            </w:r>
          </w:p>
          <w:p w:rsidR="00501EF7" w:rsidRPr="00BA0DE8" w:rsidRDefault="00501EF7" w:rsidP="00292E7A">
            <w:pPr>
              <w:numPr>
                <w:ilvl w:val="0"/>
                <w:numId w:val="14"/>
              </w:numPr>
              <w:contextualSpacing/>
              <w:jc w:val="both"/>
              <w:rPr>
                <w:rFonts w:ascii="Trebuchet MS" w:hAnsi="Trebuchet MS"/>
                <w:sz w:val="22"/>
                <w:szCs w:val="22"/>
              </w:rPr>
            </w:pPr>
            <w:r w:rsidRPr="00BA0DE8">
              <w:rPr>
                <w:rFonts w:ascii="Trebuchet MS" w:hAnsi="Trebuchet MS"/>
                <w:sz w:val="22"/>
                <w:szCs w:val="22"/>
              </w:rPr>
              <w:t>Fondul Social European Plus (FSE+):  8,385 miliarde euro,</w:t>
            </w:r>
          </w:p>
          <w:p w:rsidR="00501EF7" w:rsidRPr="00BA0DE8" w:rsidRDefault="00501EF7" w:rsidP="00292E7A">
            <w:pPr>
              <w:numPr>
                <w:ilvl w:val="0"/>
                <w:numId w:val="14"/>
              </w:numPr>
              <w:contextualSpacing/>
              <w:jc w:val="both"/>
              <w:rPr>
                <w:rFonts w:ascii="Trebuchet MS" w:hAnsi="Trebuchet MS"/>
                <w:sz w:val="22"/>
                <w:szCs w:val="22"/>
              </w:rPr>
            </w:pPr>
            <w:r w:rsidRPr="00BA0DE8">
              <w:rPr>
                <w:rFonts w:ascii="Trebuchet MS" w:hAnsi="Trebuchet MS"/>
                <w:sz w:val="22"/>
                <w:szCs w:val="22"/>
              </w:rPr>
              <w:t>Fondul de Coeziune (FC): 4,499 miliarde euro, inclusiv alocarea de 1,091 miliarde euro, transfer către Mecanismul pentru Interconectarea Europei (Connecting Europe Facility - CEF).</w:t>
            </w:r>
          </w:p>
          <w:p w:rsidR="00501EF7" w:rsidRPr="00BA0DE8" w:rsidRDefault="00501EF7" w:rsidP="00292E7A">
            <w:pPr>
              <w:widowControl w:val="0"/>
              <w:autoSpaceDE w:val="0"/>
              <w:autoSpaceDN w:val="0"/>
              <w:adjustRightInd w:val="0"/>
              <w:jc w:val="both"/>
              <w:rPr>
                <w:rFonts w:ascii="Trebuchet MS" w:hAnsi="Trebuchet MS"/>
                <w:sz w:val="22"/>
                <w:szCs w:val="22"/>
              </w:rPr>
            </w:pPr>
          </w:p>
          <w:p w:rsidR="00501EF7" w:rsidRPr="00BA0DE8" w:rsidRDefault="00721526" w:rsidP="00292E7A">
            <w:pPr>
              <w:widowControl w:val="0"/>
              <w:autoSpaceDE w:val="0"/>
              <w:autoSpaceDN w:val="0"/>
              <w:adjustRightInd w:val="0"/>
              <w:jc w:val="both"/>
              <w:rPr>
                <w:rFonts w:ascii="Trebuchet MS" w:hAnsi="Trebuchet MS"/>
                <w:sz w:val="22"/>
                <w:szCs w:val="22"/>
              </w:rPr>
            </w:pPr>
            <w:r w:rsidRPr="00BA0DE8">
              <w:rPr>
                <w:rFonts w:ascii="Trebuchet MS" w:hAnsi="Trebuchet MS"/>
                <w:sz w:val="22"/>
                <w:szCs w:val="22"/>
              </w:rPr>
              <w:t xml:space="preserve">     P</w:t>
            </w:r>
            <w:r w:rsidR="00501EF7" w:rsidRPr="00BA0DE8">
              <w:rPr>
                <w:rFonts w:ascii="Trebuchet MS" w:hAnsi="Trebuchet MS"/>
                <w:sz w:val="22"/>
                <w:szCs w:val="22"/>
              </w:rPr>
              <w:t xml:space="preserve">ropunerea legislativă include o serie de reglementări mai restrictive în comparație cu cele ale actualei perioade de programare (regula de dezangajare n+2, concentrarea tematică privind 35% din alocarea FEDR pentru Obiectivul de Politică 1), prevederi care se vor reflecta negativ în implementare, cu impact la nivelul gradului de absorbție a fondurilor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501EF7" w:rsidRPr="00BA0DE8">
              <w:rPr>
                <w:rFonts w:ascii="Trebuchet MS" w:hAnsi="Trebuchet MS"/>
                <w:sz w:val="22"/>
                <w:szCs w:val="22"/>
              </w:rPr>
              <w:t xml:space="preserve"> alocate perioadei 2021-2027 și, implicit, asupra gradului de risc de dezangajare a acestora, cât și asupra atingerii obiectivelor generale și specifice ale programelor operaționale.</w:t>
            </w:r>
          </w:p>
          <w:p w:rsidR="00501EF7" w:rsidRPr="00BA0DE8" w:rsidRDefault="00501EF7" w:rsidP="00292E7A">
            <w:pPr>
              <w:jc w:val="both"/>
              <w:rPr>
                <w:rFonts w:ascii="Trebuchet MS" w:hAnsi="Trebuchet MS"/>
                <w:sz w:val="22"/>
                <w:szCs w:val="22"/>
              </w:rPr>
            </w:pPr>
          </w:p>
          <w:p w:rsidR="00501EF7" w:rsidRPr="00BA0DE8" w:rsidRDefault="00721526"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Ministerul Fondurilor Europene (MFE) a început procesul de pregătire a documentelor de programare pentru perioada 2021-2027 și, în acest </w:t>
            </w:r>
            <w:r w:rsidR="00501EF7" w:rsidRPr="00BA0DE8">
              <w:rPr>
                <w:rFonts w:ascii="Trebuchet MS" w:hAnsi="Trebuchet MS"/>
                <w:sz w:val="22"/>
                <w:szCs w:val="22"/>
              </w:rPr>
              <w:lastRenderedPageBreak/>
              <w:t>context, au avut loc, până în prezent</w:t>
            </w:r>
            <w:r w:rsidR="00F72940" w:rsidRPr="00BA0DE8">
              <w:rPr>
                <w:rFonts w:ascii="Trebuchet MS" w:hAnsi="Trebuchet MS"/>
                <w:sz w:val="22"/>
                <w:szCs w:val="22"/>
              </w:rPr>
              <w:t>,</w:t>
            </w:r>
            <w:r w:rsidR="00501EF7" w:rsidRPr="00BA0DE8">
              <w:rPr>
                <w:rFonts w:ascii="Trebuchet MS" w:hAnsi="Trebuchet MS"/>
                <w:sz w:val="22"/>
                <w:szCs w:val="22"/>
              </w:rPr>
              <w:t xml:space="preserve"> </w:t>
            </w:r>
            <w:r w:rsidR="009B611F" w:rsidRPr="00BA0DE8">
              <w:rPr>
                <w:rFonts w:ascii="Trebuchet MS" w:hAnsi="Trebuchet MS"/>
                <w:sz w:val="22"/>
                <w:szCs w:val="22"/>
              </w:rPr>
              <w:t>7</w:t>
            </w:r>
            <w:r w:rsidR="00501EF7" w:rsidRPr="00BA0DE8">
              <w:rPr>
                <w:rFonts w:ascii="Trebuchet MS" w:hAnsi="Trebuchet MS"/>
                <w:sz w:val="22"/>
                <w:szCs w:val="22"/>
              </w:rPr>
              <w:t xml:space="preserve"> runde informale de negociere între autoritățile române și Comisia Europeană.</w:t>
            </w:r>
          </w:p>
          <w:p w:rsidR="00501EF7" w:rsidRPr="00BA0DE8" w:rsidRDefault="00501EF7" w:rsidP="00292E7A">
            <w:pPr>
              <w:jc w:val="both"/>
              <w:rPr>
                <w:rFonts w:ascii="Trebuchet MS" w:hAnsi="Trebuchet MS"/>
                <w:sz w:val="22"/>
                <w:szCs w:val="22"/>
              </w:rPr>
            </w:pPr>
          </w:p>
          <w:p w:rsidR="00501EF7" w:rsidRPr="00BA0DE8" w:rsidRDefault="00721526"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De asemenea, în cadrul grupurilor de lucru organizate corespunzător fiecăruia dintre obiectivele de politică, cu participarea ministerelor de resort, a reprezentanților societății civile, a mediului de afaceri, a mediului academic, a organizațiilor reprezentative pentru autoritățile publice locale, au fost propuse principalele priorități strategice naționale și categorii</w:t>
            </w:r>
            <w:r w:rsidR="00F72940" w:rsidRPr="00BA0DE8">
              <w:rPr>
                <w:rFonts w:ascii="Trebuchet MS" w:hAnsi="Trebuchet MS"/>
                <w:sz w:val="22"/>
                <w:szCs w:val="22"/>
              </w:rPr>
              <w:t>le</w:t>
            </w:r>
            <w:r w:rsidR="00501EF7" w:rsidRPr="00BA0DE8">
              <w:rPr>
                <w:rFonts w:ascii="Trebuchet MS" w:hAnsi="Trebuchet MS"/>
                <w:sz w:val="22"/>
                <w:szCs w:val="22"/>
              </w:rPr>
              <w:t xml:space="preserve"> de intervenție. </w:t>
            </w:r>
          </w:p>
          <w:p w:rsidR="00501EF7" w:rsidRPr="00BA0DE8" w:rsidRDefault="00501EF7" w:rsidP="00292E7A">
            <w:pPr>
              <w:jc w:val="both"/>
              <w:rPr>
                <w:rFonts w:ascii="Trebuchet MS" w:hAnsi="Trebuchet MS"/>
                <w:sz w:val="22"/>
                <w:szCs w:val="22"/>
              </w:rPr>
            </w:pPr>
          </w:p>
          <w:p w:rsidR="00501EF7" w:rsidRPr="00BA0DE8" w:rsidRDefault="00B26513"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În cadrul întâlnirilor organizate de </w:t>
            </w:r>
            <w:r w:rsidR="00F72940" w:rsidRPr="00BA0DE8">
              <w:rPr>
                <w:rFonts w:ascii="Trebuchet MS" w:hAnsi="Trebuchet MS"/>
                <w:sz w:val="22"/>
                <w:szCs w:val="22"/>
              </w:rPr>
              <w:t>MFE</w:t>
            </w:r>
            <w:r w:rsidR="00501EF7" w:rsidRPr="00BA0DE8">
              <w:rPr>
                <w:rFonts w:ascii="Trebuchet MS" w:hAnsi="Trebuchet MS"/>
                <w:sz w:val="22"/>
                <w:szCs w:val="22"/>
              </w:rPr>
              <w:t xml:space="preserve"> cu privire la mecanismul instituțional propus pentru perioada 2021-2027 și elaborarea strategiilor urbane și regionale, la care au participat reprezentanți ai Comisiei Europene, ai Ministerului Lucrărilor Publice, Dezvoltării și Administrației (MLPDA), ai </w:t>
            </w:r>
            <w:r w:rsidR="001E3656" w:rsidRPr="00BA0DE8">
              <w:rPr>
                <w:rFonts w:ascii="Trebuchet MS" w:hAnsi="Trebuchet MS"/>
                <w:sz w:val="22"/>
                <w:szCs w:val="22"/>
              </w:rPr>
              <w:t>ADR</w:t>
            </w:r>
            <w:r w:rsidR="00501EF7" w:rsidRPr="00BA0DE8">
              <w:rPr>
                <w:rFonts w:ascii="Trebuchet MS" w:hAnsi="Trebuchet MS"/>
                <w:sz w:val="22"/>
                <w:szCs w:val="22"/>
              </w:rPr>
              <w:t xml:space="preserve">, ai Asociației Orașelor din Romania (AOR), ai Asociației Municipiilor din România (AMR) și ai Uniunii Naționale a Consiliilor Județene din România (UNCJR) s-au desprins următoarele concluzii: </w:t>
            </w:r>
          </w:p>
          <w:p w:rsidR="00501EF7" w:rsidRPr="00BA0DE8" w:rsidRDefault="00B26513" w:rsidP="00292E7A">
            <w:pPr>
              <w:numPr>
                <w:ilvl w:val="0"/>
                <w:numId w:val="21"/>
              </w:numPr>
              <w:contextualSpacing/>
              <w:jc w:val="both"/>
              <w:rPr>
                <w:rFonts w:ascii="Trebuchet MS" w:hAnsi="Trebuchet MS"/>
                <w:sz w:val="22"/>
                <w:szCs w:val="22"/>
              </w:rPr>
            </w:pPr>
            <w:r w:rsidRPr="00BA0DE8">
              <w:rPr>
                <w:rFonts w:ascii="Trebuchet MS" w:hAnsi="Trebuchet MS"/>
                <w:sz w:val="22"/>
                <w:szCs w:val="22"/>
              </w:rPr>
              <w:t>a</w:t>
            </w:r>
            <w:r w:rsidR="00501EF7" w:rsidRPr="00BA0DE8">
              <w:rPr>
                <w:rFonts w:ascii="Trebuchet MS" w:hAnsi="Trebuchet MS"/>
                <w:sz w:val="22"/>
                <w:szCs w:val="22"/>
              </w:rPr>
              <w:t xml:space="preserve">mânarea unei decizii cu privire la arhitectură va avea repercusiuni asupra adoptării Programelor Operaționale </w:t>
            </w:r>
            <w:r w:rsidR="001E3656" w:rsidRPr="00BA0DE8">
              <w:rPr>
                <w:rFonts w:ascii="Trebuchet MS" w:hAnsi="Trebuchet MS"/>
                <w:sz w:val="22"/>
                <w:szCs w:val="22"/>
              </w:rPr>
              <w:t>ș</w:t>
            </w:r>
            <w:r w:rsidR="00501EF7" w:rsidRPr="00BA0DE8">
              <w:rPr>
                <w:rFonts w:ascii="Trebuchet MS" w:hAnsi="Trebuchet MS"/>
                <w:sz w:val="22"/>
                <w:szCs w:val="22"/>
              </w:rPr>
              <w:t>i întârzierea  procesului de negociere cu Comisia Europeană (CE) în ceea ce privește documentele programatice pentru perioada 2021-2027;</w:t>
            </w:r>
          </w:p>
          <w:p w:rsidR="00501EF7" w:rsidRPr="00BA0DE8" w:rsidRDefault="00B26513" w:rsidP="00292E7A">
            <w:pPr>
              <w:numPr>
                <w:ilvl w:val="0"/>
                <w:numId w:val="21"/>
              </w:numPr>
              <w:contextualSpacing/>
              <w:jc w:val="both"/>
              <w:rPr>
                <w:rFonts w:ascii="Trebuchet MS" w:hAnsi="Trebuchet MS"/>
                <w:sz w:val="22"/>
                <w:szCs w:val="22"/>
              </w:rPr>
            </w:pPr>
            <w:r w:rsidRPr="00BA0DE8">
              <w:rPr>
                <w:rFonts w:ascii="Trebuchet MS" w:hAnsi="Trebuchet MS"/>
                <w:sz w:val="22"/>
                <w:szCs w:val="22"/>
              </w:rPr>
              <w:t>p</w:t>
            </w:r>
            <w:r w:rsidR="00501EF7" w:rsidRPr="00BA0DE8">
              <w:rPr>
                <w:rFonts w:ascii="Trebuchet MS" w:hAnsi="Trebuchet MS"/>
                <w:sz w:val="22"/>
                <w:szCs w:val="22"/>
              </w:rPr>
              <w:t xml:space="preserve">ropunerea </w:t>
            </w:r>
            <w:r w:rsidR="001F350B" w:rsidRPr="00BA0DE8">
              <w:rPr>
                <w:rFonts w:ascii="Trebuchet MS" w:hAnsi="Trebuchet MS"/>
                <w:sz w:val="22"/>
                <w:szCs w:val="22"/>
              </w:rPr>
              <w:t>eficientizării</w:t>
            </w:r>
            <w:r w:rsidR="00501EF7" w:rsidRPr="00BA0DE8">
              <w:rPr>
                <w:rFonts w:ascii="Trebuchet MS" w:hAnsi="Trebuchet MS"/>
                <w:sz w:val="22"/>
                <w:szCs w:val="22"/>
              </w:rPr>
              <w:t xml:space="preserve"> este susținută în unanimitate de reprezentanții autorităților publice locale, indiferent de apartenența politică, având</w:t>
            </w:r>
            <w:r w:rsidR="00F72940" w:rsidRPr="00BA0DE8">
              <w:rPr>
                <w:rFonts w:ascii="Trebuchet MS" w:hAnsi="Trebuchet MS"/>
                <w:sz w:val="22"/>
                <w:szCs w:val="22"/>
              </w:rPr>
              <w:t xml:space="preserve"> în vedere</w:t>
            </w:r>
            <w:r w:rsidR="00501EF7" w:rsidRPr="00BA0DE8">
              <w:rPr>
                <w:rFonts w:ascii="Trebuchet MS" w:hAnsi="Trebuchet MS"/>
                <w:sz w:val="22"/>
                <w:szCs w:val="22"/>
              </w:rPr>
              <w:t xml:space="preserve"> obiectiv</w:t>
            </w:r>
            <w:r w:rsidR="00F72940" w:rsidRPr="00BA0DE8">
              <w:rPr>
                <w:rFonts w:ascii="Trebuchet MS" w:hAnsi="Trebuchet MS"/>
                <w:sz w:val="22"/>
                <w:szCs w:val="22"/>
              </w:rPr>
              <w:t>ul</w:t>
            </w:r>
            <w:r w:rsidR="00501EF7" w:rsidRPr="00BA0DE8">
              <w:rPr>
                <w:rFonts w:ascii="Trebuchet MS" w:hAnsi="Trebuchet MS"/>
                <w:sz w:val="22"/>
                <w:szCs w:val="22"/>
              </w:rPr>
              <w:t xml:space="preserve"> </w:t>
            </w:r>
            <w:r w:rsidR="00F72940" w:rsidRPr="00BA0DE8">
              <w:rPr>
                <w:rFonts w:ascii="Trebuchet MS" w:hAnsi="Trebuchet MS"/>
                <w:sz w:val="22"/>
                <w:szCs w:val="22"/>
              </w:rPr>
              <w:t xml:space="preserve">de </w:t>
            </w:r>
            <w:r w:rsidR="00501EF7" w:rsidRPr="00BA0DE8">
              <w:rPr>
                <w:rFonts w:ascii="Trebuchet MS" w:hAnsi="Trebuchet MS"/>
                <w:sz w:val="22"/>
                <w:szCs w:val="22"/>
              </w:rPr>
              <w:t>dezvoltare</w:t>
            </w:r>
            <w:r w:rsidR="00F72940" w:rsidRPr="00BA0DE8">
              <w:rPr>
                <w:rFonts w:ascii="Trebuchet MS" w:hAnsi="Trebuchet MS"/>
                <w:sz w:val="22"/>
                <w:szCs w:val="22"/>
              </w:rPr>
              <w:t xml:space="preserve"> </w:t>
            </w:r>
            <w:r w:rsidR="00501EF7" w:rsidRPr="00BA0DE8">
              <w:rPr>
                <w:rFonts w:ascii="Trebuchet MS" w:hAnsi="Trebuchet MS"/>
                <w:sz w:val="22"/>
                <w:szCs w:val="22"/>
              </w:rPr>
              <w:t>a comunităților locale</w:t>
            </w:r>
            <w:r w:rsidR="001E3656" w:rsidRPr="00BA0DE8">
              <w:rPr>
                <w:rFonts w:ascii="Trebuchet MS" w:hAnsi="Trebuchet MS"/>
                <w:sz w:val="22"/>
                <w:szCs w:val="22"/>
              </w:rPr>
              <w:t xml:space="preserve"> </w:t>
            </w:r>
            <w:r w:rsidR="00F72940" w:rsidRPr="00BA0DE8">
              <w:rPr>
                <w:rFonts w:ascii="Trebuchet MS" w:hAnsi="Trebuchet MS"/>
                <w:sz w:val="22"/>
                <w:szCs w:val="22"/>
              </w:rPr>
              <w:t>raportat la</w:t>
            </w:r>
            <w:r w:rsidR="00501EF7" w:rsidRPr="00BA0DE8">
              <w:rPr>
                <w:rFonts w:ascii="Trebuchet MS" w:hAnsi="Trebuchet MS"/>
                <w:sz w:val="22"/>
                <w:szCs w:val="22"/>
              </w:rPr>
              <w:t xml:space="preserve"> specificul local și implicit dezvoltarea României, fără adâncirea disparităților de dezvoltare regională. </w:t>
            </w:r>
          </w:p>
          <w:p w:rsidR="00501EF7" w:rsidRPr="00BA0DE8" w:rsidRDefault="00B26513"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În acest sens, pentru </w:t>
            </w:r>
            <w:r w:rsidR="00F72940" w:rsidRPr="00BA0DE8">
              <w:rPr>
                <w:rFonts w:ascii="Trebuchet MS" w:hAnsi="Trebuchet MS"/>
                <w:sz w:val="22"/>
                <w:szCs w:val="22"/>
              </w:rPr>
              <w:t xml:space="preserve">a crea premisele demarării imediate a implementării fondurilor alocate României pentru perioada de programare 2021-2027 și pentru a genera o </w:t>
            </w:r>
            <w:r w:rsidR="00501EF7" w:rsidRPr="00BA0DE8">
              <w:rPr>
                <w:rFonts w:ascii="Trebuchet MS" w:hAnsi="Trebuchet MS"/>
                <w:sz w:val="22"/>
                <w:szCs w:val="22"/>
              </w:rPr>
              <w:t>absorbți</w:t>
            </w:r>
            <w:r w:rsidR="00F72940" w:rsidRPr="00BA0DE8">
              <w:rPr>
                <w:rFonts w:ascii="Trebuchet MS" w:hAnsi="Trebuchet MS"/>
                <w:sz w:val="22"/>
                <w:szCs w:val="22"/>
              </w:rPr>
              <w:t>e ridicată a</w:t>
            </w:r>
            <w:r w:rsidR="00501EF7" w:rsidRPr="00BA0DE8">
              <w:rPr>
                <w:rFonts w:ascii="Trebuchet MS" w:hAnsi="Trebuchet MS"/>
                <w:sz w:val="22"/>
                <w:szCs w:val="22"/>
              </w:rPr>
              <w:t xml:space="preserve"> </w:t>
            </w:r>
            <w:r w:rsidR="00F72940" w:rsidRPr="00BA0DE8">
              <w:rPr>
                <w:rFonts w:ascii="Trebuchet MS" w:hAnsi="Trebuchet MS"/>
                <w:sz w:val="22"/>
                <w:szCs w:val="22"/>
              </w:rPr>
              <w:t>acestora,</w:t>
            </w:r>
            <w:r w:rsidR="00501EF7" w:rsidRPr="00BA0DE8">
              <w:rPr>
                <w:rFonts w:ascii="Trebuchet MS" w:hAnsi="Trebuchet MS"/>
                <w:sz w:val="22"/>
                <w:szCs w:val="22"/>
              </w:rPr>
              <w:t xml:space="preserve"> este necesară </w:t>
            </w:r>
            <w:r w:rsidR="00F72940" w:rsidRPr="00BA0DE8">
              <w:rPr>
                <w:rFonts w:ascii="Trebuchet MS" w:hAnsi="Trebuchet MS"/>
                <w:sz w:val="22"/>
                <w:szCs w:val="22"/>
              </w:rPr>
              <w:t xml:space="preserve">definitivarea </w:t>
            </w:r>
            <w:r w:rsidR="00501EF7" w:rsidRPr="00BA0DE8">
              <w:rPr>
                <w:rFonts w:ascii="Trebuchet MS" w:hAnsi="Trebuchet MS"/>
                <w:sz w:val="22"/>
                <w:szCs w:val="22"/>
              </w:rPr>
              <w:t>cadrului legal pentru încheierea acordului de parteneriat</w:t>
            </w:r>
            <w:r w:rsidR="00207C05" w:rsidRPr="00BA0DE8">
              <w:rPr>
                <w:rFonts w:ascii="Trebuchet MS" w:hAnsi="Trebuchet MS"/>
                <w:sz w:val="22"/>
                <w:szCs w:val="22"/>
              </w:rPr>
              <w:t xml:space="preserve">, elaborarea programelor operaționale </w:t>
            </w:r>
            <w:r w:rsidR="00501EF7" w:rsidRPr="00BA0DE8">
              <w:rPr>
                <w:rFonts w:ascii="Trebuchet MS" w:hAnsi="Trebuchet MS"/>
                <w:sz w:val="22"/>
                <w:szCs w:val="22"/>
              </w:rPr>
              <w:t xml:space="preserve">și pentru </w:t>
            </w:r>
            <w:r w:rsidR="00207C05" w:rsidRPr="00BA0DE8">
              <w:rPr>
                <w:rFonts w:ascii="Trebuchet MS" w:hAnsi="Trebuchet MS"/>
                <w:sz w:val="22"/>
                <w:szCs w:val="22"/>
              </w:rPr>
              <w:t xml:space="preserve">instituirea </w:t>
            </w:r>
            <w:r w:rsidR="00501EF7" w:rsidRPr="00BA0DE8">
              <w:rPr>
                <w:rFonts w:ascii="Trebuchet MS" w:hAnsi="Trebuchet MS"/>
                <w:sz w:val="22"/>
                <w:szCs w:val="22"/>
              </w:rPr>
              <w:t xml:space="preserve">cadrului instituțional </w:t>
            </w:r>
            <w:r w:rsidR="00207C05" w:rsidRPr="00BA0DE8">
              <w:rPr>
                <w:rFonts w:ascii="Trebuchet MS" w:hAnsi="Trebuchet MS"/>
                <w:sz w:val="22"/>
                <w:szCs w:val="22"/>
              </w:rPr>
              <w:t>de gestionare și control</w:t>
            </w:r>
            <w:r w:rsidR="00501EF7" w:rsidRPr="00BA0DE8">
              <w:rPr>
                <w:rFonts w:ascii="Trebuchet MS" w:hAnsi="Trebuchet MS"/>
                <w:sz w:val="22"/>
                <w:szCs w:val="22"/>
              </w:rPr>
              <w:t>.</w:t>
            </w:r>
          </w:p>
          <w:p w:rsidR="00501EF7" w:rsidRPr="00BA0DE8" w:rsidRDefault="00501EF7" w:rsidP="00292E7A">
            <w:pPr>
              <w:jc w:val="both"/>
              <w:rPr>
                <w:rFonts w:ascii="Trebuchet MS" w:hAnsi="Trebuchet MS"/>
                <w:sz w:val="22"/>
                <w:szCs w:val="22"/>
              </w:rPr>
            </w:pPr>
          </w:p>
          <w:p w:rsidR="00207C05" w:rsidRPr="00BA0DE8" w:rsidRDefault="00B26513" w:rsidP="00292E7A">
            <w:pPr>
              <w:jc w:val="both"/>
              <w:rPr>
                <w:rFonts w:ascii="Trebuchet MS" w:hAnsi="Trebuchet MS"/>
                <w:sz w:val="22"/>
                <w:szCs w:val="22"/>
              </w:rPr>
            </w:pPr>
            <w:r w:rsidRPr="00BA0DE8">
              <w:rPr>
                <w:rFonts w:ascii="Trebuchet MS" w:hAnsi="Trebuchet MS"/>
                <w:sz w:val="22"/>
                <w:szCs w:val="22"/>
              </w:rPr>
              <w:t xml:space="preserve">      </w:t>
            </w:r>
            <w:r w:rsidR="00207C05" w:rsidRPr="00BA0DE8">
              <w:rPr>
                <w:rFonts w:ascii="Trebuchet MS" w:hAnsi="Trebuchet MS"/>
                <w:sz w:val="22"/>
                <w:szCs w:val="22"/>
              </w:rPr>
              <w:t xml:space="preserve">Pentru a asigura o implementare eficientă a fondurilor alocate României </w:t>
            </w:r>
            <w:r w:rsidR="005D15B0" w:rsidRPr="00BA0DE8">
              <w:rPr>
                <w:rFonts w:ascii="Trebuchet MS" w:hAnsi="Trebuchet MS"/>
                <w:sz w:val="22"/>
                <w:szCs w:val="22"/>
              </w:rPr>
              <w:t>care fac obiect al</w:t>
            </w:r>
            <w:r w:rsidR="00207C05" w:rsidRPr="00BA0DE8">
              <w:rPr>
                <w:rFonts w:ascii="Trebuchet MS" w:hAnsi="Trebuchet MS"/>
                <w:sz w:val="22"/>
                <w:szCs w:val="22"/>
              </w:rPr>
              <w:t xml:space="preserve"> Programelor Operaționale Regionale</w:t>
            </w:r>
            <w:r w:rsidR="005D15B0" w:rsidRPr="00BA0DE8">
              <w:rPr>
                <w:rFonts w:ascii="Trebuchet MS" w:hAnsi="Trebuchet MS"/>
                <w:sz w:val="22"/>
                <w:szCs w:val="22"/>
              </w:rPr>
              <w:t>,</w:t>
            </w:r>
            <w:r w:rsidR="00207C05" w:rsidRPr="00BA0DE8">
              <w:rPr>
                <w:rFonts w:ascii="Trebuchet MS" w:hAnsi="Trebuchet MS"/>
                <w:sz w:val="22"/>
                <w:szCs w:val="22"/>
              </w:rPr>
              <w:t xml:space="preserve"> </w:t>
            </w:r>
            <w:r w:rsidR="008452DB" w:rsidRPr="00BA0DE8">
              <w:rPr>
                <w:rFonts w:ascii="Trebuchet MS" w:hAnsi="Trebuchet MS"/>
                <w:sz w:val="22"/>
                <w:szCs w:val="22"/>
              </w:rPr>
              <w:t xml:space="preserve">este </w:t>
            </w:r>
            <w:r w:rsidR="00207C05" w:rsidRPr="00BA0DE8">
              <w:rPr>
                <w:rFonts w:ascii="Trebuchet MS" w:hAnsi="Trebuchet MS"/>
                <w:sz w:val="22"/>
                <w:szCs w:val="22"/>
              </w:rPr>
              <w:t>neces</w:t>
            </w:r>
            <w:r w:rsidR="008452DB" w:rsidRPr="00BA0DE8">
              <w:rPr>
                <w:rFonts w:ascii="Trebuchet MS" w:hAnsi="Trebuchet MS"/>
                <w:sz w:val="22"/>
                <w:szCs w:val="22"/>
              </w:rPr>
              <w:t xml:space="preserve">ar ca gestionarea acestora să se realizeze la nivelul cel mai apropiat de </w:t>
            </w:r>
            <w:r w:rsidR="00207C05" w:rsidRPr="00BA0DE8">
              <w:rPr>
                <w:rFonts w:ascii="Trebuchet MS" w:hAnsi="Trebuchet MS"/>
                <w:sz w:val="22"/>
                <w:szCs w:val="22"/>
              </w:rPr>
              <w:t xml:space="preserve"> </w:t>
            </w:r>
            <w:r w:rsidR="005D15B0" w:rsidRPr="00BA0DE8">
              <w:rPr>
                <w:rFonts w:ascii="Trebuchet MS" w:hAnsi="Trebuchet MS"/>
                <w:sz w:val="22"/>
                <w:szCs w:val="22"/>
              </w:rPr>
              <w:t xml:space="preserve">nevoia de finanțare, respectiv al ADR. În acest mod, procesul de gestionare a fondurilor alocate prin POR 2021-2027 este simplificat, eliminându-se etape birocratice, care ar </w:t>
            </w:r>
            <w:r w:rsidR="003127E1" w:rsidRPr="00BA0DE8">
              <w:rPr>
                <w:rFonts w:ascii="Trebuchet MS" w:hAnsi="Trebuchet MS"/>
                <w:sz w:val="22"/>
                <w:szCs w:val="22"/>
              </w:rPr>
              <w:t>întârzia derularea corespunzătoare a acestui proces, prin verificări</w:t>
            </w:r>
            <w:r w:rsidR="00352885" w:rsidRPr="00BA0DE8">
              <w:rPr>
                <w:rFonts w:ascii="Trebuchet MS" w:hAnsi="Trebuchet MS"/>
                <w:sz w:val="22"/>
                <w:szCs w:val="22"/>
              </w:rPr>
              <w:t>adeseori redundante</w:t>
            </w:r>
            <w:r w:rsidR="003127E1" w:rsidRPr="00BA0DE8">
              <w:rPr>
                <w:rFonts w:ascii="Trebuchet MS" w:hAnsi="Trebuchet MS"/>
                <w:sz w:val="22"/>
                <w:szCs w:val="22"/>
              </w:rPr>
              <w:t>, , aprobări formale de documente</w:t>
            </w:r>
            <w:r w:rsidR="00352885" w:rsidRPr="00BA0DE8">
              <w:rPr>
                <w:rFonts w:ascii="Trebuchet MS" w:hAnsi="Trebuchet MS"/>
                <w:sz w:val="22"/>
                <w:szCs w:val="22"/>
              </w:rPr>
              <w:t>.</w:t>
            </w:r>
          </w:p>
          <w:p w:rsidR="003127E1" w:rsidRPr="00BA0DE8" w:rsidRDefault="00B26513" w:rsidP="00292E7A">
            <w:pPr>
              <w:jc w:val="both"/>
              <w:rPr>
                <w:rFonts w:ascii="Trebuchet MS" w:hAnsi="Trebuchet MS"/>
                <w:sz w:val="22"/>
                <w:szCs w:val="22"/>
              </w:rPr>
            </w:pPr>
            <w:r w:rsidRPr="00BA0DE8">
              <w:rPr>
                <w:rFonts w:ascii="Trebuchet MS" w:hAnsi="Trebuchet MS"/>
                <w:sz w:val="22"/>
                <w:szCs w:val="22"/>
              </w:rPr>
              <w:t xml:space="preserve">      </w:t>
            </w:r>
            <w:r w:rsidR="003127E1" w:rsidRPr="00BA0DE8">
              <w:rPr>
                <w:rFonts w:ascii="Trebuchet MS" w:hAnsi="Trebuchet MS"/>
                <w:sz w:val="22"/>
                <w:szCs w:val="22"/>
              </w:rPr>
              <w:t>De altfel, s-a constat</w:t>
            </w:r>
            <w:r w:rsidR="00E52302" w:rsidRPr="00BA0DE8">
              <w:rPr>
                <w:rFonts w:ascii="Trebuchet MS" w:hAnsi="Trebuchet MS"/>
                <w:sz w:val="22"/>
                <w:szCs w:val="22"/>
              </w:rPr>
              <w:t>at</w:t>
            </w:r>
            <w:r w:rsidR="003127E1" w:rsidRPr="00BA0DE8">
              <w:rPr>
                <w:rFonts w:ascii="Trebuchet MS" w:hAnsi="Trebuchet MS"/>
                <w:sz w:val="22"/>
                <w:szCs w:val="22"/>
              </w:rPr>
              <w:t xml:space="preserve"> că abordarea utilizată în actuala perioadă de programare, prin gestionarea centralizată a POR, nu a fost de natură să asigure o implementare eficientă în termeni de flux al activităților și claritate în relația AM-OI, unul dintre exemplele relevante în acest sens fiind numeroasele Instrucțiuni emise de AM spre a fi puse în aplicare de OI pe parcursul implementării.</w:t>
            </w:r>
          </w:p>
          <w:p w:rsidR="003127E1" w:rsidRPr="00BA0DE8" w:rsidRDefault="00B26513" w:rsidP="00292E7A">
            <w:pPr>
              <w:jc w:val="both"/>
              <w:rPr>
                <w:rFonts w:ascii="Trebuchet MS" w:hAnsi="Trebuchet MS"/>
                <w:sz w:val="22"/>
                <w:szCs w:val="22"/>
              </w:rPr>
            </w:pPr>
            <w:r w:rsidRPr="00BA0DE8">
              <w:rPr>
                <w:rFonts w:ascii="Trebuchet MS" w:hAnsi="Trebuchet MS"/>
                <w:sz w:val="22"/>
                <w:szCs w:val="22"/>
              </w:rPr>
              <w:t xml:space="preserve">       </w:t>
            </w:r>
            <w:r w:rsidR="003127E1" w:rsidRPr="00BA0DE8">
              <w:rPr>
                <w:rFonts w:ascii="Trebuchet MS" w:hAnsi="Trebuchet MS"/>
                <w:sz w:val="22"/>
                <w:szCs w:val="22"/>
              </w:rPr>
              <w:t xml:space="preserve">În plus, </w:t>
            </w:r>
            <w:r w:rsidR="00292E7A" w:rsidRPr="00BA0DE8">
              <w:rPr>
                <w:rFonts w:ascii="Trebuchet MS" w:hAnsi="Trebuchet MS"/>
                <w:sz w:val="22"/>
                <w:szCs w:val="22"/>
              </w:rPr>
              <w:t xml:space="preserve">este evident că planificarea intervențiilor la nivel de regiune va fi realizată mult mai riguros și în concordanță cu nevoile reale de dezvoltare de către ADR, deciziile putând fi adoptate în timp util și având la bază toate elementele relevante de care trebuie să se țină cont pentru </w:t>
            </w:r>
            <w:r w:rsidR="00292E7A" w:rsidRPr="00BA0DE8">
              <w:rPr>
                <w:rFonts w:ascii="Trebuchet MS" w:hAnsi="Trebuchet MS"/>
                <w:sz w:val="22"/>
                <w:szCs w:val="22"/>
              </w:rPr>
              <w:lastRenderedPageBreak/>
              <w:t>fundamentarea acestora. În acest sens, existența a încă unui nivel de aprobare la nivel central ar afecta reacția promptă în cadrul diverselor etape aferente implementării</w:t>
            </w:r>
            <w:r w:rsidR="000F3A59" w:rsidRPr="00BA0DE8">
              <w:rPr>
                <w:rFonts w:ascii="Trebuchet MS" w:hAnsi="Trebuchet MS"/>
                <w:sz w:val="22"/>
                <w:szCs w:val="22"/>
              </w:rPr>
              <w:t>,</w:t>
            </w:r>
            <w:r w:rsidR="00292E7A" w:rsidRPr="00BA0DE8">
              <w:rPr>
                <w:rFonts w:ascii="Trebuchet MS" w:hAnsi="Trebuchet MS"/>
                <w:sz w:val="22"/>
                <w:szCs w:val="22"/>
              </w:rPr>
              <w:t xml:space="preserve"> determinând fie întârzieri nejustificate</w:t>
            </w:r>
            <w:r w:rsidR="000F3A59" w:rsidRPr="00BA0DE8">
              <w:rPr>
                <w:rFonts w:ascii="Trebuchet MS" w:hAnsi="Trebuchet MS"/>
                <w:sz w:val="22"/>
                <w:szCs w:val="22"/>
              </w:rPr>
              <w:t xml:space="preserve"> în  soluționarea  dificultăților identificate</w:t>
            </w:r>
            <w:r w:rsidR="00292E7A" w:rsidRPr="00BA0DE8">
              <w:rPr>
                <w:rFonts w:ascii="Trebuchet MS" w:hAnsi="Trebuchet MS"/>
                <w:sz w:val="22"/>
                <w:szCs w:val="22"/>
              </w:rPr>
              <w:t>, fie răspuns</w:t>
            </w:r>
            <w:r w:rsidR="000F3A59" w:rsidRPr="00BA0DE8">
              <w:rPr>
                <w:rFonts w:ascii="Trebuchet MS" w:hAnsi="Trebuchet MS"/>
                <w:sz w:val="22"/>
                <w:szCs w:val="22"/>
              </w:rPr>
              <w:t>uri</w:t>
            </w:r>
            <w:r w:rsidR="00292E7A" w:rsidRPr="00BA0DE8">
              <w:rPr>
                <w:rFonts w:ascii="Trebuchet MS" w:hAnsi="Trebuchet MS"/>
                <w:sz w:val="22"/>
                <w:szCs w:val="22"/>
              </w:rPr>
              <w:t xml:space="preserve"> </w:t>
            </w:r>
            <w:r w:rsidR="000F3A59" w:rsidRPr="00BA0DE8">
              <w:rPr>
                <w:rFonts w:ascii="Trebuchet MS" w:hAnsi="Trebuchet MS"/>
                <w:sz w:val="22"/>
                <w:szCs w:val="22"/>
              </w:rPr>
              <w:t>in</w:t>
            </w:r>
            <w:r w:rsidR="00292E7A" w:rsidRPr="00BA0DE8">
              <w:rPr>
                <w:rFonts w:ascii="Trebuchet MS" w:hAnsi="Trebuchet MS"/>
                <w:sz w:val="22"/>
                <w:szCs w:val="22"/>
              </w:rPr>
              <w:t>adecvat</w:t>
            </w:r>
            <w:r w:rsidR="000F3A59" w:rsidRPr="00BA0DE8">
              <w:rPr>
                <w:rFonts w:ascii="Trebuchet MS" w:hAnsi="Trebuchet MS"/>
                <w:sz w:val="22"/>
                <w:szCs w:val="22"/>
              </w:rPr>
              <w:t>e</w:t>
            </w:r>
            <w:r w:rsidR="00292E7A" w:rsidRPr="00BA0DE8">
              <w:rPr>
                <w:rFonts w:ascii="Trebuchet MS" w:hAnsi="Trebuchet MS"/>
                <w:sz w:val="22"/>
                <w:szCs w:val="22"/>
              </w:rPr>
              <w:t>.</w:t>
            </w:r>
          </w:p>
          <w:p w:rsidR="00292E7A" w:rsidRPr="00BA0DE8" w:rsidRDefault="00292E7A" w:rsidP="00292E7A">
            <w:pPr>
              <w:jc w:val="both"/>
              <w:rPr>
                <w:rFonts w:ascii="Trebuchet MS" w:hAnsi="Trebuchet MS"/>
                <w:sz w:val="22"/>
                <w:szCs w:val="22"/>
              </w:rPr>
            </w:pPr>
          </w:p>
          <w:p w:rsidR="00501EF7" w:rsidRPr="00BA0DE8" w:rsidRDefault="00C13902"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Astfel, pentru a asigura </w:t>
            </w:r>
            <w:r w:rsidR="001F350B" w:rsidRPr="00BA0DE8">
              <w:rPr>
                <w:rFonts w:ascii="Trebuchet MS" w:hAnsi="Trebuchet MS"/>
                <w:sz w:val="22"/>
                <w:szCs w:val="22"/>
              </w:rPr>
              <w:t>eficientiz</w:t>
            </w:r>
            <w:r w:rsidR="00E52302" w:rsidRPr="00BA0DE8">
              <w:rPr>
                <w:rFonts w:ascii="Trebuchet MS" w:hAnsi="Trebuchet MS"/>
                <w:sz w:val="22"/>
                <w:szCs w:val="22"/>
              </w:rPr>
              <w:t>area</w:t>
            </w:r>
            <w:r w:rsidR="00501EF7" w:rsidRPr="00BA0DE8">
              <w:rPr>
                <w:rFonts w:ascii="Trebuchet MS" w:hAnsi="Trebuchet MS"/>
                <w:sz w:val="22"/>
                <w:szCs w:val="22"/>
              </w:rPr>
              <w:t xml:space="preserve"> procesului decizional al fondurilor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501EF7" w:rsidRPr="00BA0DE8">
              <w:rPr>
                <w:rFonts w:ascii="Trebuchet MS" w:hAnsi="Trebuchet MS"/>
                <w:sz w:val="22"/>
                <w:szCs w:val="22"/>
              </w:rPr>
              <w:t xml:space="preserve"> este necesar să funcționeze autorități de management </w:t>
            </w:r>
            <w:r w:rsidR="00E52302" w:rsidRPr="00BA0DE8">
              <w:rPr>
                <w:rFonts w:ascii="Trebuchet MS" w:hAnsi="Trebuchet MS"/>
                <w:sz w:val="22"/>
                <w:szCs w:val="22"/>
              </w:rPr>
              <w:t xml:space="preserve"> la nivel regional, </w:t>
            </w:r>
            <w:r w:rsidR="00501EF7" w:rsidRPr="00BA0DE8">
              <w:rPr>
                <w:rFonts w:ascii="Trebuchet MS" w:hAnsi="Trebuchet MS"/>
                <w:sz w:val="22"/>
                <w:szCs w:val="22"/>
              </w:rPr>
              <w:t>care să gestioneze Programele Operaționale Regionale, începând cu perioada de programare 2021-2027, cu respectarea Regulamentului Financiar</w:t>
            </w:r>
            <w:r w:rsidR="00E52302" w:rsidRPr="00BA0DE8">
              <w:rPr>
                <w:rFonts w:ascii="Trebuchet MS" w:hAnsi="Trebuchet MS"/>
                <w:sz w:val="22"/>
                <w:szCs w:val="22"/>
              </w:rPr>
              <w:t xml:space="preserve"> aplicabil fondurilor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E52302" w:rsidRPr="00BA0DE8">
              <w:rPr>
                <w:rFonts w:ascii="Trebuchet MS" w:hAnsi="Trebuchet MS"/>
                <w:sz w:val="22"/>
                <w:szCs w:val="22"/>
              </w:rPr>
              <w:t>.</w:t>
            </w:r>
            <w:r w:rsidR="00E15411" w:rsidRPr="00BA0DE8">
              <w:rPr>
                <w:rFonts w:ascii="Trebuchet MS" w:hAnsi="Trebuchet MS"/>
                <w:sz w:val="22"/>
                <w:szCs w:val="22"/>
              </w:rPr>
              <w:t xml:space="preserve"> Având în vedere experiența și expertiza acumulate la nivelul ADR pe parcursul a două perioade de programare, în care au îndeplinit prin delegare marea majoritate a funcțiilor unei autorități de management, au fost create premisele preluării integrale de către acestea a gestionării unui program operațional.</w:t>
            </w:r>
          </w:p>
          <w:p w:rsidR="00501EF7" w:rsidRPr="00BA0DE8" w:rsidRDefault="00C13902"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Autoritățile de management </w:t>
            </w:r>
            <w:r w:rsidR="00E52302" w:rsidRPr="00BA0DE8">
              <w:rPr>
                <w:rFonts w:ascii="Trebuchet MS" w:hAnsi="Trebuchet MS"/>
                <w:sz w:val="22"/>
                <w:szCs w:val="22"/>
              </w:rPr>
              <w:t xml:space="preserve">pentru POR urmează să </w:t>
            </w:r>
            <w:r w:rsidR="00501EF7" w:rsidRPr="00BA0DE8">
              <w:rPr>
                <w:rFonts w:ascii="Trebuchet MS" w:hAnsi="Trebuchet MS"/>
                <w:sz w:val="22"/>
                <w:szCs w:val="22"/>
              </w:rPr>
              <w:t>îndepline</w:t>
            </w:r>
            <w:r w:rsidR="00E52302" w:rsidRPr="00BA0DE8">
              <w:rPr>
                <w:rFonts w:ascii="Trebuchet MS" w:hAnsi="Trebuchet MS"/>
                <w:sz w:val="22"/>
                <w:szCs w:val="22"/>
              </w:rPr>
              <w:t>a</w:t>
            </w:r>
            <w:r w:rsidR="00501EF7" w:rsidRPr="00BA0DE8">
              <w:rPr>
                <w:rFonts w:ascii="Trebuchet MS" w:hAnsi="Trebuchet MS"/>
                <w:sz w:val="22"/>
                <w:szCs w:val="22"/>
              </w:rPr>
              <w:t>sc</w:t>
            </w:r>
            <w:r w:rsidR="00E52302" w:rsidRPr="00BA0DE8">
              <w:rPr>
                <w:rFonts w:ascii="Trebuchet MS" w:hAnsi="Trebuchet MS"/>
                <w:sz w:val="22"/>
                <w:szCs w:val="22"/>
              </w:rPr>
              <w:t>ă</w:t>
            </w:r>
            <w:r w:rsidR="00501EF7" w:rsidRPr="00BA0DE8">
              <w:rPr>
                <w:rFonts w:ascii="Trebuchet MS" w:hAnsi="Trebuchet MS"/>
                <w:sz w:val="22"/>
                <w:szCs w:val="22"/>
              </w:rPr>
              <w:t xml:space="preserve"> funcțiile prevăzute de reglementările legale naționale și europene, printre care cele mai importante sunt funcția de angajare a cheltuielilor prin semnarea contractelor de finanțare cu beneficiarii, funcția de plată în relația cu beneficiarii, funcția de constatare a neregulilor și de stabilire a creanțelor, precum și funcția de autorizare a cheltuielilor, conform </w:t>
            </w:r>
            <w:r w:rsidR="003D5692" w:rsidRPr="00BA0DE8">
              <w:rPr>
                <w:rFonts w:ascii="Trebuchet MS" w:hAnsi="Trebuchet MS"/>
                <w:sz w:val="22"/>
                <w:szCs w:val="22"/>
              </w:rPr>
              <w:t>cadrului de reglementare la nivel național pentru perioada de programare 2021-2027</w:t>
            </w:r>
            <w:r w:rsidR="00501EF7" w:rsidRPr="00BA0DE8">
              <w:rPr>
                <w:rFonts w:ascii="Trebuchet MS" w:hAnsi="Trebuchet MS"/>
                <w:sz w:val="22"/>
                <w:szCs w:val="22"/>
              </w:rPr>
              <w:t>.</w:t>
            </w:r>
          </w:p>
          <w:p w:rsidR="00501EF7" w:rsidRPr="00BA0DE8" w:rsidRDefault="00501EF7" w:rsidP="00292E7A">
            <w:pPr>
              <w:jc w:val="both"/>
              <w:rPr>
                <w:rFonts w:ascii="Trebuchet MS" w:hAnsi="Trebuchet MS"/>
                <w:strike/>
                <w:color w:val="FF0000"/>
                <w:sz w:val="22"/>
                <w:szCs w:val="22"/>
              </w:rPr>
            </w:pPr>
          </w:p>
          <w:p w:rsidR="00501EF7" w:rsidRPr="00BA0DE8" w:rsidRDefault="00C13902"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Având în vedere faptul că exercitarea funcțiilor mai sus prevăzute ale autorităților de management implică luarea de decizii privind utilizarea fondurilor publice</w:t>
            </w:r>
            <w:r w:rsidR="003D5692" w:rsidRPr="00BA0DE8">
              <w:rPr>
                <w:rFonts w:ascii="Trebuchet MS" w:hAnsi="Trebuchet MS"/>
                <w:sz w:val="22"/>
                <w:szCs w:val="22"/>
              </w:rPr>
              <w:t xml:space="preserve">, respectiv a fondurilor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3D5692" w:rsidRPr="00BA0DE8">
              <w:rPr>
                <w:rFonts w:ascii="Trebuchet MS" w:hAnsi="Trebuchet MS"/>
                <w:sz w:val="22"/>
                <w:szCs w:val="22"/>
              </w:rPr>
              <w:t xml:space="preserve"> ce vor fi alocate României în perioada 2021-2027,</w:t>
            </w:r>
            <w:r w:rsidR="00501EF7" w:rsidRPr="00BA0DE8">
              <w:rPr>
                <w:rFonts w:ascii="Trebuchet MS" w:hAnsi="Trebuchet MS"/>
                <w:sz w:val="22"/>
                <w:szCs w:val="22"/>
              </w:rPr>
              <w:t xml:space="preserve"> se impune cre</w:t>
            </w:r>
            <w:r w:rsidR="003D5692" w:rsidRPr="00BA0DE8">
              <w:rPr>
                <w:rFonts w:ascii="Trebuchet MS" w:hAnsi="Trebuchet MS"/>
                <w:sz w:val="22"/>
                <w:szCs w:val="22"/>
              </w:rPr>
              <w:t xml:space="preserve">area cât mai urgentă a </w:t>
            </w:r>
            <w:r w:rsidR="00501EF7" w:rsidRPr="00BA0DE8">
              <w:rPr>
                <w:rFonts w:ascii="Trebuchet MS" w:hAnsi="Trebuchet MS"/>
                <w:sz w:val="22"/>
                <w:szCs w:val="22"/>
              </w:rPr>
              <w:t>cadrul</w:t>
            </w:r>
            <w:r w:rsidR="003D5692" w:rsidRPr="00BA0DE8">
              <w:rPr>
                <w:rFonts w:ascii="Trebuchet MS" w:hAnsi="Trebuchet MS"/>
                <w:sz w:val="22"/>
                <w:szCs w:val="22"/>
              </w:rPr>
              <w:t>ui</w:t>
            </w:r>
            <w:r w:rsidR="00501EF7" w:rsidRPr="00BA0DE8">
              <w:rPr>
                <w:rFonts w:ascii="Trebuchet MS" w:hAnsi="Trebuchet MS"/>
                <w:sz w:val="22"/>
                <w:szCs w:val="22"/>
              </w:rPr>
              <w:t xml:space="preserve"> legal necesar</w:t>
            </w:r>
            <w:r w:rsidR="003D5692" w:rsidRPr="00BA0DE8">
              <w:rPr>
                <w:rFonts w:ascii="Trebuchet MS" w:hAnsi="Trebuchet MS"/>
                <w:sz w:val="22"/>
                <w:szCs w:val="22"/>
              </w:rPr>
              <w:t>, în vederea asigurării pregătirii corespunzătoare a programelor operaționale și începerii demersurilor pentru pregătirea sistemelor de gestiune și control adecvate</w:t>
            </w:r>
            <w:r w:rsidR="00501EF7" w:rsidRPr="00BA0DE8">
              <w:rPr>
                <w:rFonts w:ascii="Trebuchet MS" w:hAnsi="Trebuchet MS"/>
                <w:sz w:val="22"/>
                <w:szCs w:val="22"/>
              </w:rPr>
              <w:t>.</w:t>
            </w:r>
          </w:p>
          <w:p w:rsidR="00501EF7" w:rsidRPr="00BA0DE8" w:rsidRDefault="00501EF7" w:rsidP="00292E7A">
            <w:pPr>
              <w:contextualSpacing/>
              <w:jc w:val="both"/>
              <w:rPr>
                <w:rFonts w:ascii="Trebuchet MS" w:hAnsi="Trebuchet MS"/>
                <w:sz w:val="22"/>
                <w:szCs w:val="22"/>
              </w:rPr>
            </w:pPr>
          </w:p>
          <w:p w:rsidR="00501EF7" w:rsidRPr="00BA0DE8" w:rsidRDefault="00C13902"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În cadrul procesului de negociere, Comisia Europeană a solicitat ca România să își definitiveze arhitectura instituțională pentru </w:t>
            </w:r>
            <w:r w:rsidR="00D0086B" w:rsidRPr="00BA0DE8">
              <w:rPr>
                <w:rFonts w:ascii="Trebuchet MS" w:hAnsi="Trebuchet MS"/>
                <w:sz w:val="22"/>
                <w:szCs w:val="22"/>
              </w:rPr>
              <w:t xml:space="preserve">gestionarea și controlul </w:t>
            </w:r>
            <w:r w:rsidR="00501EF7" w:rsidRPr="00BA0DE8">
              <w:rPr>
                <w:rFonts w:ascii="Trebuchet MS" w:hAnsi="Trebuchet MS"/>
                <w:sz w:val="22"/>
                <w:szCs w:val="22"/>
              </w:rPr>
              <w:t>Programe</w:t>
            </w:r>
            <w:r w:rsidR="00D0086B" w:rsidRPr="00BA0DE8">
              <w:rPr>
                <w:rFonts w:ascii="Trebuchet MS" w:hAnsi="Trebuchet MS"/>
                <w:sz w:val="22"/>
                <w:szCs w:val="22"/>
              </w:rPr>
              <w:t>lor</w:t>
            </w:r>
            <w:r w:rsidR="00501EF7" w:rsidRPr="00BA0DE8">
              <w:rPr>
                <w:rFonts w:ascii="Trebuchet MS" w:hAnsi="Trebuchet MS"/>
                <w:sz w:val="22"/>
                <w:szCs w:val="22"/>
              </w:rPr>
              <w:t xml:space="preserve"> Operaționale </w:t>
            </w:r>
            <w:r w:rsidR="00D0086B" w:rsidRPr="00BA0DE8">
              <w:rPr>
                <w:rFonts w:ascii="Trebuchet MS" w:hAnsi="Trebuchet MS"/>
                <w:sz w:val="22"/>
                <w:szCs w:val="22"/>
              </w:rPr>
              <w:t xml:space="preserve">2021-2027 </w:t>
            </w:r>
            <w:r w:rsidR="00501EF7" w:rsidRPr="00BA0DE8">
              <w:rPr>
                <w:rFonts w:ascii="Trebuchet MS" w:hAnsi="Trebuchet MS"/>
                <w:sz w:val="22"/>
                <w:szCs w:val="22"/>
              </w:rPr>
              <w:t xml:space="preserve">și să </w:t>
            </w:r>
            <w:r w:rsidR="003D5692" w:rsidRPr="00BA0DE8">
              <w:rPr>
                <w:rFonts w:ascii="Trebuchet MS" w:hAnsi="Trebuchet MS"/>
                <w:sz w:val="22"/>
                <w:szCs w:val="22"/>
              </w:rPr>
              <w:t xml:space="preserve">stabilească </w:t>
            </w:r>
            <w:r w:rsidR="00501EF7" w:rsidRPr="00BA0DE8">
              <w:rPr>
                <w:rFonts w:ascii="Trebuchet MS" w:hAnsi="Trebuchet MS"/>
                <w:sz w:val="22"/>
                <w:szCs w:val="22"/>
              </w:rPr>
              <w:t>viitoarele autorități de management.</w:t>
            </w:r>
          </w:p>
          <w:p w:rsidR="00501EF7" w:rsidRPr="00BA0DE8" w:rsidRDefault="00501EF7" w:rsidP="00292E7A">
            <w:pPr>
              <w:jc w:val="both"/>
              <w:rPr>
                <w:rFonts w:ascii="Trebuchet MS" w:hAnsi="Trebuchet MS"/>
                <w:sz w:val="22"/>
                <w:szCs w:val="22"/>
              </w:rPr>
            </w:pPr>
          </w:p>
          <w:p w:rsidR="00501EF7" w:rsidRPr="00BA0DE8" w:rsidRDefault="00C13902"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 xml:space="preserve">Pentru a nu </w:t>
            </w:r>
            <w:r w:rsidR="003C408A" w:rsidRPr="00BA0DE8">
              <w:rPr>
                <w:rFonts w:ascii="Trebuchet MS" w:hAnsi="Trebuchet MS"/>
                <w:sz w:val="22"/>
                <w:szCs w:val="22"/>
              </w:rPr>
              <w:t>afecta</w:t>
            </w:r>
            <w:r w:rsidR="00501EF7" w:rsidRPr="00BA0DE8">
              <w:rPr>
                <w:rFonts w:ascii="Trebuchet MS" w:hAnsi="Trebuchet MS"/>
                <w:sz w:val="22"/>
                <w:szCs w:val="22"/>
              </w:rPr>
              <w:t xml:space="preserve"> procesul de negociere cu Comisia Europeană în stabilirea cadrul</w:t>
            </w:r>
            <w:r w:rsidR="00FB7844" w:rsidRPr="00BA0DE8">
              <w:rPr>
                <w:rFonts w:ascii="Trebuchet MS" w:hAnsi="Trebuchet MS"/>
                <w:sz w:val="22"/>
                <w:szCs w:val="22"/>
              </w:rPr>
              <w:t>ui</w:t>
            </w:r>
            <w:r w:rsidR="00501EF7" w:rsidRPr="00BA0DE8">
              <w:rPr>
                <w:rFonts w:ascii="Trebuchet MS" w:hAnsi="Trebuchet MS"/>
                <w:sz w:val="22"/>
                <w:szCs w:val="22"/>
              </w:rPr>
              <w:t xml:space="preserve"> partenerial aferent perioadei de programare 2021-2027, dar și pentru a nu genera întârzieri în implementarea viitoarelor Programe Operaționale, cu impact asupra absorbției de fonduri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501EF7" w:rsidRPr="00BA0DE8">
              <w:rPr>
                <w:rFonts w:ascii="Trebuchet MS" w:hAnsi="Trebuchet MS"/>
                <w:sz w:val="22"/>
                <w:szCs w:val="22"/>
              </w:rPr>
              <w:t xml:space="preserve"> alocate României, prin act</w:t>
            </w:r>
            <w:r w:rsidR="003C408A" w:rsidRPr="00BA0DE8">
              <w:rPr>
                <w:rFonts w:ascii="Trebuchet MS" w:hAnsi="Trebuchet MS"/>
                <w:sz w:val="22"/>
                <w:szCs w:val="22"/>
              </w:rPr>
              <w:t>ul</w:t>
            </w:r>
            <w:r w:rsidR="00501EF7" w:rsidRPr="00BA0DE8">
              <w:rPr>
                <w:rFonts w:ascii="Trebuchet MS" w:hAnsi="Trebuchet MS"/>
                <w:sz w:val="22"/>
                <w:szCs w:val="22"/>
              </w:rPr>
              <w:t xml:space="preserve"> normativ se propune ca cele 8 </w:t>
            </w:r>
            <w:r w:rsidR="00E85C4F" w:rsidRPr="00BA0DE8">
              <w:rPr>
                <w:rFonts w:ascii="Trebuchet MS" w:hAnsi="Trebuchet MS"/>
                <w:sz w:val="22"/>
                <w:szCs w:val="22"/>
              </w:rPr>
              <w:t>ADR</w:t>
            </w:r>
            <w:r w:rsidR="00501EF7" w:rsidRPr="00BA0DE8">
              <w:rPr>
                <w:rFonts w:ascii="Trebuchet MS" w:hAnsi="Trebuchet MS"/>
                <w:sz w:val="22"/>
                <w:szCs w:val="22"/>
              </w:rPr>
              <w:t>, organizate potrivit Legii</w:t>
            </w:r>
            <w:r w:rsidR="00E85C4F" w:rsidRPr="00BA0DE8">
              <w:rPr>
                <w:rFonts w:ascii="Trebuchet MS" w:hAnsi="Trebuchet MS"/>
                <w:sz w:val="22"/>
                <w:szCs w:val="22"/>
              </w:rPr>
              <w:t xml:space="preserve"> nr.</w:t>
            </w:r>
            <w:r w:rsidR="00501EF7" w:rsidRPr="00BA0DE8">
              <w:rPr>
                <w:rFonts w:ascii="Trebuchet MS" w:hAnsi="Trebuchet MS"/>
                <w:sz w:val="22"/>
                <w:szCs w:val="22"/>
              </w:rPr>
              <w:t xml:space="preserve"> 315/2004 privind dezvoltarea regională în România, să îndeplinească funcția de </w:t>
            </w:r>
            <w:r w:rsidR="002C69F1" w:rsidRPr="00BA0DE8">
              <w:rPr>
                <w:rFonts w:ascii="Trebuchet MS" w:hAnsi="Trebuchet MS"/>
                <w:sz w:val="22"/>
                <w:szCs w:val="22"/>
              </w:rPr>
              <w:t>autorități</w:t>
            </w:r>
            <w:r w:rsidR="00501EF7" w:rsidRPr="00BA0DE8">
              <w:rPr>
                <w:rFonts w:ascii="Trebuchet MS" w:hAnsi="Trebuchet MS"/>
                <w:sz w:val="22"/>
                <w:szCs w:val="22"/>
              </w:rPr>
              <w:t xml:space="preserve"> de management pentru Programele Operaționale Regionale.</w:t>
            </w:r>
          </w:p>
          <w:p w:rsidR="00501EF7" w:rsidRPr="00BA0DE8" w:rsidRDefault="00501EF7" w:rsidP="00292E7A">
            <w:pPr>
              <w:jc w:val="both"/>
              <w:rPr>
                <w:rFonts w:ascii="Trebuchet MS" w:hAnsi="Trebuchet MS"/>
                <w:sz w:val="22"/>
                <w:szCs w:val="22"/>
              </w:rPr>
            </w:pPr>
          </w:p>
          <w:p w:rsidR="00501EF7" w:rsidRPr="00BA0DE8" w:rsidRDefault="001A0DE6" w:rsidP="00292E7A">
            <w:pPr>
              <w:jc w:val="both"/>
              <w:rPr>
                <w:rFonts w:ascii="Trebuchet MS" w:hAnsi="Trebuchet MS"/>
                <w:sz w:val="22"/>
                <w:szCs w:val="22"/>
              </w:rPr>
            </w:pPr>
            <w:r w:rsidRPr="00BA0DE8">
              <w:rPr>
                <w:rFonts w:ascii="Trebuchet MS" w:hAnsi="Trebuchet MS"/>
                <w:sz w:val="22"/>
                <w:szCs w:val="22"/>
              </w:rPr>
              <w:t xml:space="preserve">      </w:t>
            </w:r>
            <w:r w:rsidR="00E85C4F" w:rsidRPr="00BA0DE8">
              <w:rPr>
                <w:rFonts w:ascii="Trebuchet MS" w:hAnsi="Trebuchet MS"/>
                <w:sz w:val="22"/>
                <w:szCs w:val="22"/>
              </w:rPr>
              <w:t xml:space="preserve">În conformitate cu prevederile art. 2 lit. b) și c) din Legea nr. 554/2004 a contenciosului administrativ, cu modificările și completările ulterioare, coroborate cu prevederile art. 21 alin. (19) din Ordonanța de </w:t>
            </w:r>
            <w:r w:rsidRPr="00BA0DE8">
              <w:rPr>
                <w:rFonts w:ascii="Trebuchet MS" w:hAnsi="Trebuchet MS"/>
                <w:sz w:val="22"/>
                <w:szCs w:val="22"/>
              </w:rPr>
              <w:t>u</w:t>
            </w:r>
            <w:r w:rsidR="00E85C4F" w:rsidRPr="00BA0DE8">
              <w:rPr>
                <w:rFonts w:ascii="Trebuchet MS" w:hAnsi="Trebuchet MS"/>
                <w:sz w:val="22"/>
                <w:szCs w:val="22"/>
              </w:rPr>
              <w:t xml:space="preserve">rgență a Guvernului nr. 66/2011, privind prevenirea, constatarea și sancționarea neregulilor apărute în obținerea și utilizarea fondurilor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E85C4F" w:rsidRPr="00BA0DE8">
              <w:rPr>
                <w:rFonts w:ascii="Trebuchet MS" w:hAnsi="Trebuchet MS"/>
                <w:sz w:val="22"/>
                <w:szCs w:val="22"/>
              </w:rPr>
              <w:t xml:space="preserve"> și/sau a fondurilor publice naționale aferente acestora,</w:t>
            </w:r>
            <w:r w:rsidRPr="00BA0DE8">
              <w:rPr>
                <w:rFonts w:ascii="Trebuchet MS" w:hAnsi="Trebuchet MS"/>
                <w:sz w:val="22"/>
                <w:szCs w:val="22"/>
              </w:rPr>
              <w:t xml:space="preserve"> cu modificările și completările ulterioare,</w:t>
            </w:r>
            <w:r w:rsidR="00E85C4F" w:rsidRPr="00BA0DE8">
              <w:rPr>
                <w:rFonts w:ascii="Trebuchet MS" w:hAnsi="Trebuchet MS"/>
                <w:sz w:val="22"/>
                <w:szCs w:val="22"/>
              </w:rPr>
              <w:t xml:space="preserve"> î</w:t>
            </w:r>
            <w:r w:rsidR="00501EF7" w:rsidRPr="00BA0DE8">
              <w:rPr>
                <w:rFonts w:ascii="Trebuchet MS" w:hAnsi="Trebuchet MS"/>
                <w:sz w:val="22"/>
                <w:szCs w:val="22"/>
              </w:rPr>
              <w:t xml:space="preserve">n calitate de autorități de </w:t>
            </w:r>
            <w:r w:rsidR="00501EF7" w:rsidRPr="00BA0DE8">
              <w:rPr>
                <w:rFonts w:ascii="Trebuchet MS" w:hAnsi="Trebuchet MS"/>
                <w:sz w:val="22"/>
                <w:szCs w:val="22"/>
              </w:rPr>
              <w:lastRenderedPageBreak/>
              <w:t>management ale Programelor Operaționale Regionale</w:t>
            </w:r>
            <w:r w:rsidR="00E85C4F" w:rsidRPr="00BA0DE8">
              <w:rPr>
                <w:rFonts w:ascii="Trebuchet MS" w:hAnsi="Trebuchet MS"/>
                <w:sz w:val="22"/>
                <w:szCs w:val="22"/>
              </w:rPr>
              <w:t>,</w:t>
            </w:r>
            <w:r w:rsidR="00501EF7" w:rsidRPr="00BA0DE8">
              <w:rPr>
                <w:rFonts w:ascii="Trebuchet MS" w:hAnsi="Trebuchet MS"/>
                <w:sz w:val="22"/>
                <w:szCs w:val="22"/>
              </w:rPr>
              <w:t xml:space="preserve"> </w:t>
            </w:r>
            <w:r w:rsidR="00E85C4F" w:rsidRPr="00BA0DE8">
              <w:rPr>
                <w:rFonts w:ascii="Trebuchet MS" w:hAnsi="Trebuchet MS"/>
                <w:sz w:val="22"/>
                <w:szCs w:val="22"/>
              </w:rPr>
              <w:t>ADR vor avea dreptul de a exercita</w:t>
            </w:r>
            <w:r w:rsidR="00501EF7" w:rsidRPr="00BA0DE8">
              <w:rPr>
                <w:rFonts w:ascii="Trebuchet MS" w:hAnsi="Trebuchet MS"/>
                <w:sz w:val="22"/>
                <w:szCs w:val="22"/>
              </w:rPr>
              <w:t xml:space="preserve"> activitatea de constatare a neregulilor și de stabilire a creanțelor, în conformitate cu prevederile O</w:t>
            </w:r>
            <w:r w:rsidRPr="00BA0DE8">
              <w:rPr>
                <w:rFonts w:ascii="Trebuchet MS" w:hAnsi="Trebuchet MS"/>
                <w:sz w:val="22"/>
                <w:szCs w:val="22"/>
              </w:rPr>
              <w:t>.</w:t>
            </w:r>
            <w:r w:rsidR="00501EF7" w:rsidRPr="00BA0DE8">
              <w:rPr>
                <w:rFonts w:ascii="Trebuchet MS" w:hAnsi="Trebuchet MS"/>
                <w:sz w:val="22"/>
                <w:szCs w:val="22"/>
              </w:rPr>
              <w:t>U</w:t>
            </w:r>
            <w:r w:rsidRPr="00BA0DE8">
              <w:rPr>
                <w:rFonts w:ascii="Trebuchet MS" w:hAnsi="Trebuchet MS"/>
                <w:sz w:val="22"/>
                <w:szCs w:val="22"/>
              </w:rPr>
              <w:t>.</w:t>
            </w:r>
            <w:r w:rsidR="00501EF7" w:rsidRPr="00BA0DE8">
              <w:rPr>
                <w:rFonts w:ascii="Trebuchet MS" w:hAnsi="Trebuchet MS"/>
                <w:sz w:val="22"/>
                <w:szCs w:val="22"/>
              </w:rPr>
              <w:t xml:space="preserve">G nr. 66/2011, cu modificările și completările ulterioare, </w:t>
            </w:r>
            <w:r w:rsidR="00E85C4F" w:rsidRPr="00BA0DE8">
              <w:rPr>
                <w:rFonts w:ascii="Trebuchet MS" w:hAnsi="Trebuchet MS"/>
                <w:sz w:val="22"/>
                <w:szCs w:val="22"/>
              </w:rPr>
              <w:t xml:space="preserve"> pe care îl pot exercita în mod direct sau prin delegare.</w:t>
            </w:r>
          </w:p>
          <w:p w:rsidR="00501EF7" w:rsidRPr="00BA0DE8" w:rsidRDefault="00501EF7" w:rsidP="00292E7A">
            <w:pPr>
              <w:jc w:val="both"/>
              <w:rPr>
                <w:rFonts w:ascii="Trebuchet MS" w:hAnsi="Trebuchet MS"/>
                <w:sz w:val="22"/>
                <w:szCs w:val="22"/>
              </w:rPr>
            </w:pPr>
          </w:p>
          <w:p w:rsidR="00B23305" w:rsidRPr="00BA0DE8" w:rsidRDefault="001A0DE6" w:rsidP="00292E7A">
            <w:pPr>
              <w:jc w:val="both"/>
              <w:rPr>
                <w:rFonts w:ascii="Trebuchet MS" w:hAnsi="Trebuchet MS"/>
                <w:sz w:val="22"/>
                <w:szCs w:val="22"/>
              </w:rPr>
            </w:pPr>
            <w:r w:rsidRPr="00BA0DE8">
              <w:rPr>
                <w:rFonts w:ascii="Trebuchet MS" w:hAnsi="Trebuchet MS"/>
                <w:sz w:val="22"/>
                <w:szCs w:val="22"/>
              </w:rPr>
              <w:t xml:space="preserve">    </w:t>
            </w:r>
            <w:r w:rsidR="00883175" w:rsidRPr="00BA0DE8">
              <w:rPr>
                <w:rFonts w:ascii="Trebuchet MS" w:hAnsi="Trebuchet MS"/>
                <w:sz w:val="22"/>
                <w:szCs w:val="22"/>
              </w:rPr>
              <w:t>Pentru asigurarea unui management financiar eficient al fondurilor</w:t>
            </w:r>
            <w:r w:rsidR="00883175" w:rsidRPr="00BA0DE8">
              <w:rPr>
                <w:rFonts w:ascii="Verdana" w:hAnsi="Verdana"/>
                <w:color w:val="000000"/>
                <w:sz w:val="23"/>
                <w:szCs w:val="23"/>
                <w:shd w:val="clear" w:color="auto" w:fill="FFFFFF"/>
              </w:rPr>
              <w:t> </w:t>
            </w:r>
            <w:r w:rsidR="00081714">
              <w:rPr>
                <w:rFonts w:ascii="Trebuchet MS" w:hAnsi="Trebuchet MS"/>
                <w:sz w:val="22"/>
                <w:szCs w:val="22"/>
              </w:rPr>
              <w:t xml:space="preserve"> externe nerambursabile</w:t>
            </w:r>
            <w:r w:rsidR="00081714" w:rsidRPr="00BA0DE8" w:rsidDel="00081714">
              <w:rPr>
                <w:rFonts w:ascii="Verdana" w:hAnsi="Verdana"/>
                <w:color w:val="000000"/>
                <w:sz w:val="23"/>
                <w:szCs w:val="23"/>
                <w:shd w:val="clear" w:color="auto" w:fill="FFFFFF"/>
              </w:rPr>
              <w:t xml:space="preserve"> </w:t>
            </w:r>
            <w:r w:rsidR="00883175" w:rsidRPr="00BA0DE8">
              <w:rPr>
                <w:rFonts w:ascii="Trebuchet MS" w:hAnsi="Trebuchet MS"/>
                <w:sz w:val="22"/>
                <w:szCs w:val="22"/>
              </w:rPr>
              <w:t>, p</w:t>
            </w:r>
            <w:r w:rsidR="00BF7D50" w:rsidRPr="00BA0DE8">
              <w:rPr>
                <w:rFonts w:ascii="Trebuchet MS" w:hAnsi="Trebuchet MS"/>
                <w:sz w:val="22"/>
                <w:szCs w:val="22"/>
              </w:rPr>
              <w:t xml:space="preserve">rezentul </w:t>
            </w:r>
            <w:r w:rsidR="006F2714" w:rsidRPr="00BA0DE8">
              <w:rPr>
                <w:rFonts w:ascii="Trebuchet MS" w:hAnsi="Trebuchet MS"/>
                <w:sz w:val="22"/>
                <w:szCs w:val="22"/>
              </w:rPr>
              <w:t xml:space="preserve">proiect de </w:t>
            </w:r>
            <w:r w:rsidR="00BF7D50" w:rsidRPr="00BA0DE8">
              <w:rPr>
                <w:rFonts w:ascii="Trebuchet MS" w:hAnsi="Trebuchet MS"/>
                <w:sz w:val="22"/>
                <w:szCs w:val="22"/>
              </w:rPr>
              <w:t>act normativ stabilește și cadrul general</w:t>
            </w:r>
            <w:r w:rsidR="006F2714" w:rsidRPr="00BA0DE8">
              <w:rPr>
                <w:rFonts w:ascii="Trebuchet MS" w:hAnsi="Trebuchet MS"/>
                <w:sz w:val="22"/>
                <w:szCs w:val="22"/>
              </w:rPr>
              <w:t xml:space="preserve"> privind managementului financiar</w:t>
            </w:r>
            <w:r w:rsidR="00BF7D50" w:rsidRPr="00BA0DE8">
              <w:rPr>
                <w:rFonts w:ascii="Trebuchet MS" w:hAnsi="Trebuchet MS"/>
                <w:sz w:val="22"/>
                <w:szCs w:val="22"/>
              </w:rPr>
              <w:t xml:space="preserve"> pentru perioada de programare 2021-2027, </w:t>
            </w:r>
            <w:r w:rsidR="00883175" w:rsidRPr="00BA0DE8">
              <w:rPr>
                <w:rFonts w:ascii="Trebuchet MS" w:hAnsi="Trebuchet MS"/>
                <w:sz w:val="22"/>
                <w:szCs w:val="22"/>
              </w:rPr>
              <w:t xml:space="preserve">pentru </w:t>
            </w:r>
            <w:r w:rsidR="00B23305" w:rsidRPr="00BA0DE8">
              <w:rPr>
                <w:rFonts w:ascii="Trebuchet MS" w:hAnsi="Trebuchet MS"/>
                <w:sz w:val="22"/>
                <w:szCs w:val="22"/>
              </w:rPr>
              <w:t xml:space="preserve">Programele Operaționale Regionale. </w:t>
            </w:r>
          </w:p>
          <w:p w:rsidR="00501EF7" w:rsidRPr="00BA0DE8" w:rsidRDefault="001A0DE6" w:rsidP="00292E7A">
            <w:pPr>
              <w:jc w:val="both"/>
              <w:rPr>
                <w:rFonts w:ascii="Trebuchet MS" w:hAnsi="Trebuchet MS"/>
                <w:sz w:val="22"/>
                <w:szCs w:val="22"/>
              </w:rPr>
            </w:pPr>
            <w:r w:rsidRPr="00BA0DE8">
              <w:rPr>
                <w:rFonts w:ascii="Trebuchet MS" w:hAnsi="Trebuchet MS"/>
                <w:sz w:val="22"/>
                <w:szCs w:val="22"/>
              </w:rPr>
              <w:t xml:space="preserve">     P</w:t>
            </w:r>
            <w:r w:rsidR="00501EF7" w:rsidRPr="00BA0DE8">
              <w:rPr>
                <w:rFonts w:ascii="Trebuchet MS" w:hAnsi="Trebuchet MS"/>
                <w:sz w:val="22"/>
                <w:szCs w:val="22"/>
              </w:rPr>
              <w:t xml:space="preserve">entru gestionarea fondurilor alocate prin bugetul de stat pentru asigurarea cofinanțării, pentru fondurile </w:t>
            </w:r>
            <w:r w:rsidR="00081714">
              <w:rPr>
                <w:rFonts w:ascii="Trebuchet MS" w:hAnsi="Trebuchet MS"/>
                <w:sz w:val="22"/>
                <w:szCs w:val="22"/>
              </w:rPr>
              <w:t xml:space="preserve"> externe nerambursabile</w:t>
            </w:r>
            <w:r w:rsidR="00081714" w:rsidRPr="00BA0DE8" w:rsidDel="00081714">
              <w:rPr>
                <w:rFonts w:ascii="Trebuchet MS" w:hAnsi="Trebuchet MS"/>
                <w:sz w:val="22"/>
                <w:szCs w:val="22"/>
              </w:rPr>
              <w:t xml:space="preserve"> </w:t>
            </w:r>
            <w:r w:rsidR="00501EF7" w:rsidRPr="00BA0DE8">
              <w:rPr>
                <w:rFonts w:ascii="Trebuchet MS" w:hAnsi="Trebuchet MS"/>
                <w:sz w:val="22"/>
                <w:szCs w:val="22"/>
              </w:rPr>
              <w:t xml:space="preserve"> și cele aferente </w:t>
            </w:r>
            <w:r w:rsidR="006F2714" w:rsidRPr="00BA0DE8">
              <w:rPr>
                <w:rFonts w:ascii="Trebuchet MS" w:hAnsi="Trebuchet MS"/>
                <w:sz w:val="22"/>
                <w:szCs w:val="22"/>
              </w:rPr>
              <w:t>a</w:t>
            </w:r>
            <w:r w:rsidR="00501EF7" w:rsidRPr="00BA0DE8">
              <w:rPr>
                <w:rFonts w:ascii="Trebuchet MS" w:hAnsi="Trebuchet MS"/>
                <w:sz w:val="22"/>
                <w:szCs w:val="22"/>
              </w:rPr>
              <w:t xml:space="preserve">sistenței </w:t>
            </w:r>
            <w:r w:rsidR="006F2714" w:rsidRPr="00BA0DE8">
              <w:rPr>
                <w:rFonts w:ascii="Trebuchet MS" w:hAnsi="Trebuchet MS"/>
                <w:sz w:val="22"/>
                <w:szCs w:val="22"/>
              </w:rPr>
              <w:t>t</w:t>
            </w:r>
            <w:r w:rsidR="00501EF7" w:rsidRPr="00BA0DE8">
              <w:rPr>
                <w:rFonts w:ascii="Trebuchet MS" w:hAnsi="Trebuchet MS"/>
                <w:sz w:val="22"/>
                <w:szCs w:val="22"/>
              </w:rPr>
              <w:t xml:space="preserve">ehnice este necesar ca </w:t>
            </w:r>
            <w:r w:rsidR="006F2714" w:rsidRPr="00BA0DE8">
              <w:rPr>
                <w:rFonts w:ascii="Trebuchet MS" w:hAnsi="Trebuchet MS"/>
                <w:sz w:val="22"/>
                <w:szCs w:val="22"/>
              </w:rPr>
              <w:t>ADR</w:t>
            </w:r>
            <w:r w:rsidR="00501EF7" w:rsidRPr="00BA0DE8">
              <w:rPr>
                <w:rFonts w:ascii="Trebuchet MS" w:hAnsi="Trebuchet MS"/>
                <w:sz w:val="22"/>
                <w:szCs w:val="22"/>
              </w:rPr>
              <w:t xml:space="preserve"> să încheie acorduri de colaborare cu Ministerului Finanțelor Publice, în baza cărora să se poată </w:t>
            </w:r>
            <w:r w:rsidR="006F2714" w:rsidRPr="00BA0DE8">
              <w:rPr>
                <w:rFonts w:ascii="Trebuchet MS" w:hAnsi="Trebuchet MS"/>
                <w:sz w:val="22"/>
                <w:szCs w:val="22"/>
              </w:rPr>
              <w:t>derula</w:t>
            </w:r>
            <w:r w:rsidR="00B23305" w:rsidRPr="00BA0DE8">
              <w:rPr>
                <w:rFonts w:ascii="Trebuchet MS" w:hAnsi="Trebuchet MS"/>
                <w:sz w:val="22"/>
                <w:szCs w:val="22"/>
              </w:rPr>
              <w:t xml:space="preserve"> fluxurile financiare pentru </w:t>
            </w:r>
            <w:r w:rsidR="003C408A" w:rsidRPr="00BA0DE8">
              <w:rPr>
                <w:rFonts w:ascii="Trebuchet MS" w:hAnsi="Trebuchet MS"/>
                <w:sz w:val="22"/>
                <w:szCs w:val="22"/>
              </w:rPr>
              <w:t xml:space="preserve">încheierea și </w:t>
            </w:r>
            <w:r w:rsidR="006F2714" w:rsidRPr="00BA0DE8">
              <w:rPr>
                <w:rFonts w:ascii="Trebuchet MS" w:hAnsi="Trebuchet MS"/>
                <w:sz w:val="22"/>
                <w:szCs w:val="22"/>
              </w:rPr>
              <w:t>implementarea</w:t>
            </w:r>
            <w:r w:rsidR="003C408A" w:rsidRPr="00BA0DE8">
              <w:rPr>
                <w:rFonts w:ascii="Trebuchet MS" w:hAnsi="Trebuchet MS"/>
                <w:sz w:val="22"/>
                <w:szCs w:val="22"/>
              </w:rPr>
              <w:t xml:space="preserve"> proiectelor finanțate </w:t>
            </w:r>
            <w:r w:rsidR="009F604F" w:rsidRPr="00BA0DE8">
              <w:rPr>
                <w:rFonts w:ascii="Trebuchet MS" w:hAnsi="Trebuchet MS"/>
                <w:sz w:val="22"/>
                <w:szCs w:val="22"/>
              </w:rPr>
              <w:t>din</w:t>
            </w:r>
            <w:r w:rsidR="003C408A" w:rsidRPr="00BA0DE8">
              <w:rPr>
                <w:rFonts w:ascii="Trebuchet MS" w:hAnsi="Trebuchet MS"/>
                <w:sz w:val="22"/>
                <w:szCs w:val="22"/>
              </w:rPr>
              <w:t xml:space="preserve"> </w:t>
            </w:r>
            <w:r w:rsidR="006F2714" w:rsidRPr="00BA0DE8">
              <w:rPr>
                <w:rFonts w:ascii="Trebuchet MS" w:hAnsi="Trebuchet MS"/>
                <w:sz w:val="22"/>
                <w:szCs w:val="22"/>
              </w:rPr>
              <w:t>P</w:t>
            </w:r>
            <w:r w:rsidR="003C408A" w:rsidRPr="00BA0DE8">
              <w:rPr>
                <w:rFonts w:ascii="Trebuchet MS" w:hAnsi="Trebuchet MS"/>
                <w:sz w:val="22"/>
                <w:szCs w:val="22"/>
              </w:rPr>
              <w:t xml:space="preserve">rogramele </w:t>
            </w:r>
            <w:r w:rsidR="006F2714" w:rsidRPr="00BA0DE8">
              <w:rPr>
                <w:rFonts w:ascii="Trebuchet MS" w:hAnsi="Trebuchet MS"/>
                <w:sz w:val="22"/>
                <w:szCs w:val="22"/>
              </w:rPr>
              <w:t>O</w:t>
            </w:r>
            <w:r w:rsidR="003C408A" w:rsidRPr="00BA0DE8">
              <w:rPr>
                <w:rFonts w:ascii="Trebuchet MS" w:hAnsi="Trebuchet MS"/>
                <w:sz w:val="22"/>
                <w:szCs w:val="22"/>
              </w:rPr>
              <w:t xml:space="preserve">peraționale </w:t>
            </w:r>
            <w:r w:rsidR="006F2714" w:rsidRPr="00BA0DE8">
              <w:rPr>
                <w:rFonts w:ascii="Trebuchet MS" w:hAnsi="Trebuchet MS"/>
                <w:sz w:val="22"/>
                <w:szCs w:val="22"/>
              </w:rPr>
              <w:t>R</w:t>
            </w:r>
            <w:r w:rsidR="003C408A" w:rsidRPr="00BA0DE8">
              <w:rPr>
                <w:rFonts w:ascii="Trebuchet MS" w:hAnsi="Trebuchet MS"/>
                <w:sz w:val="22"/>
                <w:szCs w:val="22"/>
              </w:rPr>
              <w:t xml:space="preserve">egionale. </w:t>
            </w:r>
          </w:p>
          <w:p w:rsidR="00501EF7" w:rsidRPr="00BA0DE8" w:rsidRDefault="00501EF7" w:rsidP="00292E7A">
            <w:pPr>
              <w:jc w:val="both"/>
              <w:rPr>
                <w:rFonts w:ascii="Trebuchet MS" w:hAnsi="Trebuchet MS"/>
                <w:sz w:val="22"/>
                <w:szCs w:val="22"/>
              </w:rPr>
            </w:pPr>
          </w:p>
          <w:p w:rsidR="00501EF7" w:rsidRPr="00501EF7" w:rsidRDefault="001A0DE6" w:rsidP="00292E7A">
            <w:pPr>
              <w:jc w:val="both"/>
              <w:rPr>
                <w:rFonts w:ascii="Trebuchet MS" w:hAnsi="Trebuchet MS"/>
                <w:sz w:val="22"/>
                <w:szCs w:val="22"/>
              </w:rPr>
            </w:pPr>
            <w:r w:rsidRPr="00BA0DE8">
              <w:rPr>
                <w:rFonts w:ascii="Trebuchet MS" w:hAnsi="Trebuchet MS"/>
                <w:sz w:val="22"/>
                <w:szCs w:val="22"/>
              </w:rPr>
              <w:t xml:space="preserve">     </w:t>
            </w:r>
            <w:r w:rsidR="00501EF7" w:rsidRPr="00BA0DE8">
              <w:rPr>
                <w:rFonts w:ascii="Trebuchet MS" w:hAnsi="Trebuchet MS"/>
                <w:sz w:val="22"/>
                <w:szCs w:val="22"/>
              </w:rPr>
              <w:t>În calitate de autorități de management pentru Programele Operaționale Regionale</w:t>
            </w:r>
            <w:r w:rsidR="009F604F" w:rsidRPr="00BA0DE8">
              <w:rPr>
                <w:rFonts w:ascii="Trebuchet MS" w:hAnsi="Trebuchet MS"/>
                <w:sz w:val="22"/>
                <w:szCs w:val="22"/>
              </w:rPr>
              <w:t>,</w:t>
            </w:r>
            <w:r w:rsidR="00501EF7" w:rsidRPr="00BA0DE8">
              <w:rPr>
                <w:rFonts w:ascii="Trebuchet MS" w:hAnsi="Trebuchet MS"/>
                <w:sz w:val="22"/>
                <w:szCs w:val="22"/>
              </w:rPr>
              <w:t xml:space="preserve"> </w:t>
            </w:r>
            <w:r w:rsidR="009F604F" w:rsidRPr="00BA0DE8">
              <w:rPr>
                <w:rFonts w:ascii="Trebuchet MS" w:hAnsi="Trebuchet MS"/>
                <w:sz w:val="22"/>
                <w:szCs w:val="22"/>
              </w:rPr>
              <w:t>ADR</w:t>
            </w:r>
            <w:r w:rsidR="00501EF7" w:rsidRPr="00BA0DE8">
              <w:rPr>
                <w:rFonts w:ascii="Trebuchet MS" w:hAnsi="Trebuchet MS"/>
                <w:sz w:val="22"/>
                <w:szCs w:val="22"/>
              </w:rPr>
              <w:t xml:space="preserve"> vor putea încredința unor organisme intermediare</w:t>
            </w:r>
            <w:r w:rsidR="00F71748" w:rsidRPr="00BA0DE8">
              <w:rPr>
                <w:rFonts w:ascii="Trebuchet MS" w:hAnsi="Trebuchet MS"/>
                <w:sz w:val="22"/>
                <w:szCs w:val="22"/>
              </w:rPr>
              <w:t xml:space="preserve">  gestionarea unor funcții și/sau părți ale Programelor Operaționale Regionale, cu respectarea Regulamentelor Europene și a cadrului normativ național aplicabil, după verificarea capacității acestora,</w:t>
            </w:r>
            <w:r w:rsidR="009F604F" w:rsidRPr="00BA0DE8">
              <w:rPr>
                <w:rFonts w:ascii="Trebuchet MS" w:hAnsi="Trebuchet MS"/>
                <w:sz w:val="22"/>
                <w:szCs w:val="22"/>
              </w:rPr>
              <w:t xml:space="preserve"> prin încheierea unor acorduri </w:t>
            </w:r>
            <w:r w:rsidR="00E67358" w:rsidRPr="00BA0DE8">
              <w:rPr>
                <w:rFonts w:ascii="Trebuchet MS" w:hAnsi="Trebuchet MS"/>
                <w:sz w:val="22"/>
                <w:szCs w:val="22"/>
              </w:rPr>
              <w:t>de delegare</w:t>
            </w:r>
            <w:r w:rsidR="00501EF7" w:rsidRPr="00BA0DE8">
              <w:rPr>
                <w:rFonts w:ascii="Trebuchet MS" w:hAnsi="Trebuchet MS"/>
                <w:sz w:val="22"/>
                <w:szCs w:val="22"/>
              </w:rPr>
              <w:t>.</w:t>
            </w:r>
            <w:r w:rsidR="00501EF7" w:rsidRPr="00501EF7">
              <w:rPr>
                <w:rFonts w:ascii="Trebuchet MS" w:hAnsi="Trebuchet MS"/>
                <w:sz w:val="22"/>
                <w:szCs w:val="22"/>
              </w:rPr>
              <w:t xml:space="preserve"> </w:t>
            </w:r>
          </w:p>
        </w:tc>
      </w:tr>
      <w:tr w:rsidR="00501EF7" w:rsidRPr="00501EF7" w:rsidTr="00F46C4C">
        <w:tc>
          <w:tcPr>
            <w:tcW w:w="2235" w:type="dxa"/>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lastRenderedPageBreak/>
              <w:t xml:space="preserve">3. Alte </w:t>
            </w:r>
            <w:r w:rsidR="002C69F1" w:rsidRPr="00501EF7">
              <w:rPr>
                <w:rFonts w:ascii="Trebuchet MS" w:hAnsi="Trebuchet MS"/>
                <w:sz w:val="22"/>
                <w:szCs w:val="22"/>
              </w:rPr>
              <w:t>informații</w:t>
            </w:r>
          </w:p>
        </w:tc>
        <w:tc>
          <w:tcPr>
            <w:tcW w:w="7593" w:type="dxa"/>
            <w:gridSpan w:val="7"/>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t>Nu au fost identificate.</w:t>
            </w:r>
          </w:p>
        </w:tc>
      </w:tr>
      <w:tr w:rsidR="00501EF7" w:rsidRPr="00501EF7" w:rsidTr="00292E7A">
        <w:tc>
          <w:tcPr>
            <w:tcW w:w="9828" w:type="dxa"/>
            <w:gridSpan w:val="8"/>
            <w:shd w:val="clear" w:color="auto" w:fill="auto"/>
          </w:tcPr>
          <w:p w:rsidR="00501EF7" w:rsidRPr="00501EF7" w:rsidRDefault="002C69F1" w:rsidP="00292E7A">
            <w:pPr>
              <w:spacing w:line="276" w:lineRule="auto"/>
              <w:jc w:val="center"/>
              <w:rPr>
                <w:rFonts w:ascii="Trebuchet MS" w:hAnsi="Trebuchet MS"/>
                <w:b/>
                <w:sz w:val="22"/>
                <w:szCs w:val="22"/>
              </w:rPr>
            </w:pPr>
            <w:r w:rsidRPr="00501EF7">
              <w:rPr>
                <w:rFonts w:ascii="Trebuchet MS" w:hAnsi="Trebuchet MS"/>
                <w:b/>
                <w:sz w:val="22"/>
                <w:szCs w:val="22"/>
              </w:rPr>
              <w:t>Secțiunea</w:t>
            </w:r>
            <w:r w:rsidR="00501EF7" w:rsidRPr="00501EF7">
              <w:rPr>
                <w:rFonts w:ascii="Trebuchet MS" w:hAnsi="Trebuchet MS"/>
                <w:b/>
                <w:sz w:val="22"/>
                <w:szCs w:val="22"/>
              </w:rPr>
              <w:t xml:space="preserve"> 3</w:t>
            </w:r>
          </w:p>
          <w:p w:rsidR="00501EF7" w:rsidRPr="00501EF7" w:rsidRDefault="00501EF7" w:rsidP="00292E7A">
            <w:pPr>
              <w:spacing w:line="276" w:lineRule="auto"/>
              <w:jc w:val="center"/>
              <w:rPr>
                <w:rFonts w:ascii="Trebuchet MS" w:hAnsi="Trebuchet MS"/>
                <w:b/>
                <w:sz w:val="22"/>
                <w:szCs w:val="22"/>
              </w:rPr>
            </w:pPr>
            <w:r w:rsidRPr="00501EF7">
              <w:rPr>
                <w:rFonts w:ascii="Trebuchet MS" w:hAnsi="Trebuchet MS"/>
                <w:b/>
                <w:sz w:val="22"/>
                <w:szCs w:val="22"/>
              </w:rPr>
              <w:t>Impactul socio</w:t>
            </w:r>
            <w:r w:rsidR="001A0DE6">
              <w:rPr>
                <w:rFonts w:ascii="Trebuchet MS" w:hAnsi="Trebuchet MS"/>
                <w:b/>
                <w:sz w:val="22"/>
                <w:szCs w:val="22"/>
              </w:rPr>
              <w:t xml:space="preserve"> -</w:t>
            </w:r>
            <w:r w:rsidRPr="00501EF7">
              <w:rPr>
                <w:rFonts w:ascii="Trebuchet MS" w:hAnsi="Trebuchet MS"/>
                <w:b/>
                <w:sz w:val="22"/>
                <w:szCs w:val="22"/>
              </w:rPr>
              <w:t>economic al proiectului de act normativ</w:t>
            </w:r>
          </w:p>
        </w:tc>
      </w:tr>
      <w:tr w:rsidR="00501EF7" w:rsidRPr="00501EF7" w:rsidTr="00292E7A">
        <w:tc>
          <w:tcPr>
            <w:tcW w:w="2376" w:type="dxa"/>
            <w:gridSpan w:val="2"/>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t>1. Impactul macroeconomic</w:t>
            </w:r>
          </w:p>
        </w:tc>
        <w:tc>
          <w:tcPr>
            <w:tcW w:w="7452" w:type="dxa"/>
            <w:gridSpan w:val="6"/>
            <w:shd w:val="clear" w:color="auto" w:fill="auto"/>
          </w:tcPr>
          <w:p w:rsidR="00501EF7" w:rsidRPr="00501EF7" w:rsidRDefault="00501EF7" w:rsidP="00292E7A">
            <w:pPr>
              <w:spacing w:line="276" w:lineRule="auto"/>
              <w:jc w:val="both"/>
              <w:rPr>
                <w:rFonts w:ascii="Trebuchet MS" w:hAnsi="Trebuchet MS"/>
                <w:sz w:val="22"/>
                <w:szCs w:val="22"/>
              </w:rPr>
            </w:pPr>
            <w:r w:rsidRPr="00501EF7">
              <w:rPr>
                <w:rFonts w:ascii="Trebuchet MS" w:hAnsi="Trebuchet MS"/>
                <w:sz w:val="22"/>
                <w:szCs w:val="22"/>
              </w:rPr>
              <w:t>Proiectul de act normativ nu are impact macroeconomic, contribuind la dezvoltarea instituțională a României.</w:t>
            </w:r>
          </w:p>
          <w:p w:rsidR="00501EF7" w:rsidRPr="00501EF7" w:rsidRDefault="00501EF7" w:rsidP="00292E7A">
            <w:pPr>
              <w:spacing w:line="276" w:lineRule="auto"/>
              <w:jc w:val="both"/>
              <w:rPr>
                <w:rFonts w:ascii="Trebuchet MS" w:hAnsi="Trebuchet MS"/>
                <w:sz w:val="22"/>
                <w:szCs w:val="22"/>
              </w:rPr>
            </w:pPr>
          </w:p>
        </w:tc>
      </w:tr>
      <w:tr w:rsidR="00501EF7" w:rsidRPr="00501EF7" w:rsidTr="00292E7A">
        <w:tc>
          <w:tcPr>
            <w:tcW w:w="2376" w:type="dxa"/>
            <w:gridSpan w:val="2"/>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t xml:space="preserve">1^1. Impactul asupra mediului </w:t>
            </w:r>
            <w:r w:rsidR="002C69F1" w:rsidRPr="00501EF7">
              <w:rPr>
                <w:rFonts w:ascii="Trebuchet MS" w:hAnsi="Trebuchet MS"/>
                <w:sz w:val="22"/>
                <w:szCs w:val="22"/>
              </w:rPr>
              <w:t>concurențial</w:t>
            </w:r>
            <w:r w:rsidRPr="00501EF7">
              <w:rPr>
                <w:rFonts w:ascii="Trebuchet MS" w:hAnsi="Trebuchet MS"/>
                <w:sz w:val="22"/>
                <w:szCs w:val="22"/>
              </w:rPr>
              <w:t xml:space="preserve"> </w:t>
            </w:r>
            <w:r w:rsidR="002C69F1" w:rsidRPr="00501EF7">
              <w:rPr>
                <w:rFonts w:ascii="Trebuchet MS" w:hAnsi="Trebuchet MS"/>
                <w:sz w:val="22"/>
                <w:szCs w:val="22"/>
              </w:rPr>
              <w:t>și</w:t>
            </w:r>
            <w:r w:rsidRPr="00501EF7">
              <w:rPr>
                <w:rFonts w:ascii="Trebuchet MS" w:hAnsi="Trebuchet MS"/>
                <w:sz w:val="22"/>
                <w:szCs w:val="22"/>
              </w:rPr>
              <w:t xml:space="preserve"> domeniului ajutoarelor de stat</w:t>
            </w:r>
          </w:p>
        </w:tc>
        <w:tc>
          <w:tcPr>
            <w:tcW w:w="7452" w:type="dxa"/>
            <w:gridSpan w:val="6"/>
            <w:shd w:val="clear" w:color="auto" w:fill="auto"/>
            <w:vAlign w:val="center"/>
          </w:tcPr>
          <w:p w:rsidR="00501EF7" w:rsidRPr="00501EF7" w:rsidRDefault="00501EF7" w:rsidP="00292E7A">
            <w:pPr>
              <w:spacing w:line="276" w:lineRule="auto"/>
              <w:jc w:val="both"/>
              <w:rPr>
                <w:rFonts w:ascii="Trebuchet MS" w:hAnsi="Trebuchet MS"/>
                <w:sz w:val="22"/>
                <w:szCs w:val="22"/>
              </w:rPr>
            </w:pPr>
            <w:r w:rsidRPr="00501EF7">
              <w:rPr>
                <w:rFonts w:ascii="Trebuchet MS" w:hAnsi="Trebuchet MS"/>
                <w:sz w:val="22"/>
                <w:szCs w:val="22"/>
              </w:rPr>
              <w:t>Proiectul de act normativ nu se referă la acest subiect.</w:t>
            </w:r>
          </w:p>
        </w:tc>
      </w:tr>
      <w:tr w:rsidR="00501EF7" w:rsidRPr="00501EF7" w:rsidTr="00292E7A">
        <w:tc>
          <w:tcPr>
            <w:tcW w:w="2376" w:type="dxa"/>
            <w:gridSpan w:val="2"/>
            <w:shd w:val="clear" w:color="auto" w:fill="auto"/>
          </w:tcPr>
          <w:p w:rsidR="00501EF7" w:rsidRPr="00501EF7" w:rsidRDefault="00501EF7" w:rsidP="00292E7A">
            <w:pPr>
              <w:spacing w:line="276" w:lineRule="auto"/>
              <w:rPr>
                <w:rFonts w:ascii="Trebuchet MS" w:hAnsi="Trebuchet MS"/>
                <w:sz w:val="22"/>
                <w:szCs w:val="22"/>
              </w:rPr>
            </w:pPr>
            <w:r w:rsidRPr="00501EF7">
              <w:rPr>
                <w:rFonts w:ascii="Trebuchet MS" w:hAnsi="Trebuchet MS"/>
                <w:sz w:val="22"/>
                <w:szCs w:val="22"/>
              </w:rPr>
              <w:t>2. Impactul asupra mediului de afaceri</w:t>
            </w:r>
          </w:p>
        </w:tc>
        <w:tc>
          <w:tcPr>
            <w:tcW w:w="7452" w:type="dxa"/>
            <w:gridSpan w:val="6"/>
            <w:shd w:val="clear" w:color="auto" w:fill="auto"/>
          </w:tcPr>
          <w:p w:rsidR="00501EF7" w:rsidRPr="00501EF7" w:rsidRDefault="00501EF7" w:rsidP="00292E7A">
            <w:pPr>
              <w:spacing w:line="276" w:lineRule="auto"/>
              <w:jc w:val="both"/>
              <w:rPr>
                <w:rFonts w:ascii="Trebuchet MS" w:hAnsi="Trebuchet MS"/>
                <w:sz w:val="22"/>
                <w:szCs w:val="22"/>
              </w:rPr>
            </w:pPr>
            <w:r w:rsidRPr="00501EF7">
              <w:rPr>
                <w:rFonts w:ascii="Trebuchet MS" w:hAnsi="Trebuchet MS"/>
                <w:sz w:val="22"/>
                <w:szCs w:val="22"/>
              </w:rPr>
              <w:t>Prezentul act normativ asigură condițiile pentru modernizarea  şi  dezvoltarea  regională, mutând decizia cât mai aproape de cei afectați direct de către ea.</w:t>
            </w:r>
          </w:p>
        </w:tc>
      </w:tr>
      <w:tr w:rsidR="001A0DE6" w:rsidRPr="00501EF7" w:rsidTr="00292E7A">
        <w:tc>
          <w:tcPr>
            <w:tcW w:w="2376" w:type="dxa"/>
            <w:gridSpan w:val="2"/>
            <w:shd w:val="clear" w:color="auto" w:fill="auto"/>
          </w:tcPr>
          <w:p w:rsidR="001A0DE6" w:rsidRPr="001A0DE6" w:rsidRDefault="001A0DE6" w:rsidP="00292E7A">
            <w:pPr>
              <w:spacing w:line="276" w:lineRule="auto"/>
              <w:rPr>
                <w:rFonts w:ascii="Trebuchet MS" w:hAnsi="Trebuchet MS"/>
                <w:sz w:val="22"/>
                <w:szCs w:val="22"/>
              </w:rPr>
            </w:pPr>
            <w:r>
              <w:rPr>
                <w:rFonts w:ascii="Trebuchet MS" w:hAnsi="Trebuchet MS"/>
                <w:sz w:val="22"/>
                <w:szCs w:val="22"/>
              </w:rPr>
              <w:t>2</w:t>
            </w:r>
            <w:r>
              <w:rPr>
                <w:rFonts w:ascii="Trebuchet MS" w:hAnsi="Trebuchet MS"/>
                <w:sz w:val="22"/>
                <w:szCs w:val="22"/>
                <w:vertAlign w:val="superscript"/>
              </w:rPr>
              <w:t>1</w:t>
            </w:r>
            <w:r>
              <w:rPr>
                <w:rFonts w:ascii="Trebuchet MS" w:hAnsi="Trebuchet MS"/>
                <w:sz w:val="22"/>
                <w:szCs w:val="22"/>
              </w:rPr>
              <w:t xml:space="preserve">Impactul asupra sarcinilor administrative </w:t>
            </w:r>
          </w:p>
        </w:tc>
        <w:tc>
          <w:tcPr>
            <w:tcW w:w="7452" w:type="dxa"/>
            <w:gridSpan w:val="6"/>
            <w:shd w:val="clear" w:color="auto" w:fill="auto"/>
          </w:tcPr>
          <w:p w:rsidR="001A0DE6" w:rsidRPr="001A0DE6" w:rsidRDefault="001A0DE6" w:rsidP="00292E7A">
            <w:pPr>
              <w:spacing w:line="276" w:lineRule="auto"/>
              <w:jc w:val="both"/>
              <w:rPr>
                <w:rFonts w:ascii="Trebuchet MS" w:hAnsi="Trebuchet MS"/>
                <w:sz w:val="22"/>
                <w:szCs w:val="22"/>
              </w:rPr>
            </w:pPr>
            <w:r w:rsidRPr="001A0DE6">
              <w:rPr>
                <w:rFonts w:ascii="Trebuchet MS" w:hAnsi="Trebuchet MS"/>
                <w:sz w:val="22"/>
                <w:szCs w:val="22"/>
              </w:rPr>
              <w:t>Proiectul de act normativ nu se referă la acest subiect.</w:t>
            </w:r>
          </w:p>
        </w:tc>
      </w:tr>
      <w:tr w:rsidR="001A0DE6" w:rsidRPr="00501EF7" w:rsidTr="00292E7A">
        <w:tc>
          <w:tcPr>
            <w:tcW w:w="2376" w:type="dxa"/>
            <w:gridSpan w:val="2"/>
            <w:shd w:val="clear" w:color="auto" w:fill="auto"/>
          </w:tcPr>
          <w:p w:rsidR="001A0DE6" w:rsidRPr="001A0DE6" w:rsidRDefault="001A0DE6" w:rsidP="00292E7A">
            <w:pPr>
              <w:spacing w:line="276" w:lineRule="auto"/>
              <w:rPr>
                <w:rFonts w:ascii="Trebuchet MS" w:hAnsi="Trebuchet MS"/>
                <w:sz w:val="22"/>
                <w:szCs w:val="22"/>
              </w:rPr>
            </w:pPr>
            <w:r>
              <w:rPr>
                <w:rFonts w:ascii="Trebuchet MS" w:hAnsi="Trebuchet MS"/>
                <w:sz w:val="22"/>
                <w:szCs w:val="22"/>
              </w:rPr>
              <w:t>2</w:t>
            </w:r>
            <w:r>
              <w:rPr>
                <w:rFonts w:ascii="Trebuchet MS" w:hAnsi="Trebuchet MS"/>
                <w:sz w:val="22"/>
                <w:szCs w:val="22"/>
                <w:vertAlign w:val="superscript"/>
              </w:rPr>
              <w:t xml:space="preserve">2 </w:t>
            </w:r>
            <w:r>
              <w:rPr>
                <w:rFonts w:ascii="Trebuchet MS" w:hAnsi="Trebuchet MS"/>
                <w:sz w:val="22"/>
                <w:szCs w:val="22"/>
              </w:rPr>
              <w:t xml:space="preserve">Impactul asupra întreprinderilor mici și mijlocii </w:t>
            </w:r>
          </w:p>
        </w:tc>
        <w:tc>
          <w:tcPr>
            <w:tcW w:w="7452" w:type="dxa"/>
            <w:gridSpan w:val="6"/>
            <w:shd w:val="clear" w:color="auto" w:fill="auto"/>
          </w:tcPr>
          <w:p w:rsidR="001A0DE6" w:rsidRPr="001A0DE6" w:rsidRDefault="001A0DE6" w:rsidP="00292E7A">
            <w:pPr>
              <w:spacing w:line="276" w:lineRule="auto"/>
              <w:jc w:val="both"/>
              <w:rPr>
                <w:rFonts w:ascii="Trebuchet MS" w:hAnsi="Trebuchet MS"/>
                <w:sz w:val="22"/>
                <w:szCs w:val="22"/>
              </w:rPr>
            </w:pPr>
            <w:r w:rsidRPr="001A0DE6">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3. Impactul social</w:t>
            </w:r>
          </w:p>
        </w:tc>
        <w:tc>
          <w:tcPr>
            <w:tcW w:w="7452" w:type="dxa"/>
            <w:gridSpan w:val="6"/>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4. Impactul asupra mediului </w:t>
            </w:r>
          </w:p>
        </w:tc>
        <w:tc>
          <w:tcPr>
            <w:tcW w:w="7452" w:type="dxa"/>
            <w:gridSpan w:val="6"/>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5. Alte informații</w:t>
            </w:r>
          </w:p>
        </w:tc>
        <w:tc>
          <w:tcPr>
            <w:tcW w:w="7452" w:type="dxa"/>
            <w:gridSpan w:val="6"/>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9828" w:type="dxa"/>
            <w:gridSpan w:val="8"/>
            <w:tcBorders>
              <w:top w:val="single" w:sz="4" w:space="0" w:color="auto"/>
              <w:left w:val="single" w:sz="4" w:space="0" w:color="auto"/>
              <w:bottom w:val="single" w:sz="4" w:space="0" w:color="auto"/>
              <w:right w:val="single" w:sz="4" w:space="0" w:color="auto"/>
            </w:tcBorders>
            <w:shd w:val="clear" w:color="auto" w:fill="auto"/>
          </w:tcPr>
          <w:p w:rsidR="002C69F1" w:rsidRPr="00501EF7" w:rsidRDefault="002C69F1" w:rsidP="002C69F1">
            <w:pPr>
              <w:spacing w:line="276" w:lineRule="auto"/>
              <w:jc w:val="center"/>
              <w:rPr>
                <w:rFonts w:ascii="Trebuchet MS" w:hAnsi="Trebuchet MS"/>
                <w:b/>
                <w:sz w:val="10"/>
                <w:szCs w:val="10"/>
              </w:rPr>
            </w:pP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Secțiunea 4</w:t>
            </w:r>
          </w:p>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b/>
                <w:sz w:val="22"/>
                <w:szCs w:val="22"/>
              </w:rPr>
              <w:lastRenderedPageBreak/>
              <w:t>Impactul financiar asupra bugetului general consolidat, atât pe termen scurt, pentru anul curent, cât și pe termen lung (5 ani)</w:t>
            </w:r>
            <w:r w:rsidRPr="00501EF7">
              <w:rPr>
                <w:rFonts w:ascii="Trebuchet MS" w:hAnsi="Trebuchet MS"/>
                <w:sz w:val="22"/>
                <w:szCs w:val="22"/>
              </w:rPr>
              <w:t xml:space="preserve"> </w:t>
            </w:r>
          </w:p>
          <w:p w:rsidR="002C69F1" w:rsidRPr="00501EF7" w:rsidRDefault="002C69F1" w:rsidP="002C69F1">
            <w:pPr>
              <w:spacing w:line="276" w:lineRule="auto"/>
              <w:jc w:val="center"/>
              <w:rPr>
                <w:rFonts w:ascii="Trebuchet MS" w:hAnsi="Trebuchet MS"/>
                <w:sz w:val="8"/>
                <w:szCs w:val="8"/>
              </w:rPr>
            </w:pPr>
          </w:p>
        </w:tc>
      </w:tr>
      <w:tr w:rsidR="002C69F1" w:rsidRPr="00501EF7" w:rsidTr="00292E7A">
        <w:tc>
          <w:tcPr>
            <w:tcW w:w="9828" w:type="dxa"/>
            <w:gridSpan w:val="8"/>
            <w:tcBorders>
              <w:top w:val="single" w:sz="4" w:space="0" w:color="auto"/>
            </w:tcBorders>
            <w:shd w:val="clear" w:color="auto" w:fill="auto"/>
          </w:tcPr>
          <w:p w:rsidR="002C69F1" w:rsidRPr="00501EF7" w:rsidRDefault="002C69F1" w:rsidP="002C69F1">
            <w:pPr>
              <w:tabs>
                <w:tab w:val="left" w:pos="7890"/>
              </w:tabs>
              <w:spacing w:line="276" w:lineRule="auto"/>
              <w:rPr>
                <w:rFonts w:ascii="Trebuchet MS" w:hAnsi="Trebuchet MS"/>
                <w:sz w:val="22"/>
                <w:szCs w:val="22"/>
              </w:rPr>
            </w:pPr>
            <w:r w:rsidRPr="00501EF7">
              <w:rPr>
                <w:rFonts w:ascii="Trebuchet MS" w:hAnsi="Trebuchet MS"/>
                <w:b/>
                <w:sz w:val="22"/>
                <w:szCs w:val="22"/>
              </w:rPr>
              <w:lastRenderedPageBreak/>
              <w:tab/>
              <w:t xml:space="preserve">     </w:t>
            </w:r>
            <w:r w:rsidRPr="00501EF7">
              <w:rPr>
                <w:rFonts w:ascii="Trebuchet MS" w:hAnsi="Trebuchet MS"/>
                <w:sz w:val="22"/>
                <w:szCs w:val="22"/>
              </w:rPr>
              <w:t>- mii lei -</w:t>
            </w:r>
          </w:p>
        </w:tc>
      </w:tr>
      <w:tr w:rsidR="002C69F1" w:rsidRPr="00501EF7" w:rsidTr="00292E7A">
        <w:tc>
          <w:tcPr>
            <w:tcW w:w="2376" w:type="dxa"/>
            <w:gridSpan w:val="2"/>
            <w:shd w:val="clear" w:color="auto" w:fill="auto"/>
            <w:vAlign w:val="center"/>
          </w:tcPr>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Indicatori</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Anul curent</w:t>
            </w:r>
          </w:p>
        </w:tc>
        <w:tc>
          <w:tcPr>
            <w:tcW w:w="3960" w:type="dxa"/>
            <w:gridSpan w:val="4"/>
            <w:shd w:val="clear" w:color="auto" w:fill="auto"/>
            <w:vAlign w:val="center"/>
          </w:tcPr>
          <w:p w:rsidR="002C69F1" w:rsidRPr="00501EF7" w:rsidRDefault="002C69F1" w:rsidP="002C69F1">
            <w:pPr>
              <w:tabs>
                <w:tab w:val="left" w:pos="1050"/>
              </w:tabs>
              <w:spacing w:line="276" w:lineRule="auto"/>
              <w:jc w:val="center"/>
              <w:rPr>
                <w:rFonts w:ascii="Trebuchet MS" w:hAnsi="Trebuchet MS"/>
                <w:b/>
                <w:sz w:val="22"/>
                <w:szCs w:val="22"/>
              </w:rPr>
            </w:pPr>
            <w:r w:rsidRPr="00501EF7">
              <w:rPr>
                <w:rFonts w:ascii="Trebuchet MS" w:hAnsi="Trebuchet MS"/>
                <w:b/>
                <w:sz w:val="22"/>
                <w:szCs w:val="22"/>
              </w:rPr>
              <w:t>Următorii ani</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Media pe 5 ani</w:t>
            </w:r>
          </w:p>
        </w:tc>
      </w:tr>
      <w:tr w:rsidR="002C69F1" w:rsidRPr="00501EF7" w:rsidTr="00292E7A">
        <w:tc>
          <w:tcPr>
            <w:tcW w:w="2376" w:type="dxa"/>
            <w:gridSpan w:val="2"/>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1</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2</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3</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4</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5</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6</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7</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b/>
                <w:sz w:val="22"/>
                <w:szCs w:val="22"/>
              </w:rPr>
            </w:pPr>
          </w:p>
        </w:tc>
        <w:tc>
          <w:tcPr>
            <w:tcW w:w="2518" w:type="dxa"/>
            <w:shd w:val="clear" w:color="auto" w:fill="auto"/>
          </w:tcPr>
          <w:p w:rsidR="002C69F1" w:rsidRPr="00501EF7" w:rsidRDefault="00F71748" w:rsidP="002C69F1">
            <w:pPr>
              <w:spacing w:line="276" w:lineRule="auto"/>
              <w:jc w:val="center"/>
              <w:rPr>
                <w:rFonts w:ascii="Trebuchet MS" w:hAnsi="Trebuchet MS"/>
                <w:b/>
                <w:sz w:val="22"/>
                <w:szCs w:val="22"/>
              </w:rPr>
            </w:pPr>
            <w:r>
              <w:rPr>
                <w:rFonts w:ascii="Trebuchet MS" w:hAnsi="Trebuchet MS"/>
                <w:b/>
                <w:sz w:val="22"/>
                <w:szCs w:val="22"/>
              </w:rPr>
              <w:t>1</w:t>
            </w:r>
          </w:p>
        </w:tc>
        <w:tc>
          <w:tcPr>
            <w:tcW w:w="1044" w:type="dxa"/>
            <w:shd w:val="clear" w:color="auto" w:fill="auto"/>
          </w:tcPr>
          <w:p w:rsidR="002C69F1" w:rsidRPr="00501EF7" w:rsidRDefault="00F71748" w:rsidP="002C69F1">
            <w:pPr>
              <w:spacing w:line="276" w:lineRule="auto"/>
              <w:jc w:val="center"/>
              <w:rPr>
                <w:rFonts w:ascii="Trebuchet MS" w:hAnsi="Trebuchet MS"/>
                <w:b/>
                <w:sz w:val="22"/>
                <w:szCs w:val="22"/>
              </w:rPr>
            </w:pPr>
            <w:r>
              <w:rPr>
                <w:rFonts w:ascii="Trebuchet MS" w:hAnsi="Trebuchet MS"/>
                <w:b/>
                <w:sz w:val="22"/>
                <w:szCs w:val="22"/>
              </w:rPr>
              <w:t>2</w:t>
            </w:r>
          </w:p>
        </w:tc>
        <w:tc>
          <w:tcPr>
            <w:tcW w:w="972" w:type="dxa"/>
            <w:shd w:val="clear" w:color="auto" w:fill="auto"/>
          </w:tcPr>
          <w:p w:rsidR="002C69F1" w:rsidRPr="00501EF7" w:rsidRDefault="00F71748" w:rsidP="002C69F1">
            <w:pPr>
              <w:spacing w:line="276" w:lineRule="auto"/>
              <w:jc w:val="center"/>
              <w:rPr>
                <w:rFonts w:ascii="Trebuchet MS" w:hAnsi="Trebuchet MS"/>
                <w:b/>
                <w:sz w:val="22"/>
                <w:szCs w:val="22"/>
              </w:rPr>
            </w:pPr>
            <w:r>
              <w:rPr>
                <w:rFonts w:ascii="Trebuchet MS" w:hAnsi="Trebuchet MS"/>
                <w:b/>
                <w:sz w:val="22"/>
                <w:szCs w:val="22"/>
              </w:rPr>
              <w:t>3</w:t>
            </w:r>
          </w:p>
        </w:tc>
        <w:tc>
          <w:tcPr>
            <w:tcW w:w="972" w:type="dxa"/>
            <w:shd w:val="clear" w:color="auto" w:fill="auto"/>
          </w:tcPr>
          <w:p w:rsidR="002C69F1" w:rsidRPr="00501EF7" w:rsidRDefault="00F71748" w:rsidP="002C69F1">
            <w:pPr>
              <w:spacing w:line="276" w:lineRule="auto"/>
              <w:jc w:val="center"/>
              <w:rPr>
                <w:rFonts w:ascii="Trebuchet MS" w:hAnsi="Trebuchet MS"/>
                <w:b/>
                <w:sz w:val="22"/>
                <w:szCs w:val="22"/>
              </w:rPr>
            </w:pPr>
            <w:r>
              <w:rPr>
                <w:rFonts w:ascii="Trebuchet MS" w:hAnsi="Trebuchet MS"/>
                <w:b/>
                <w:sz w:val="22"/>
                <w:szCs w:val="22"/>
              </w:rPr>
              <w:t>4</w:t>
            </w:r>
          </w:p>
        </w:tc>
        <w:tc>
          <w:tcPr>
            <w:tcW w:w="972" w:type="dxa"/>
            <w:shd w:val="clear" w:color="auto" w:fill="auto"/>
          </w:tcPr>
          <w:p w:rsidR="002C69F1" w:rsidRPr="00501EF7" w:rsidRDefault="00F71748" w:rsidP="002C69F1">
            <w:pPr>
              <w:spacing w:line="276" w:lineRule="auto"/>
              <w:jc w:val="center"/>
              <w:rPr>
                <w:rFonts w:ascii="Trebuchet MS" w:hAnsi="Trebuchet MS"/>
                <w:b/>
                <w:sz w:val="22"/>
                <w:szCs w:val="22"/>
              </w:rPr>
            </w:pPr>
            <w:r>
              <w:rPr>
                <w:rFonts w:ascii="Trebuchet MS" w:hAnsi="Trebuchet MS"/>
                <w:b/>
                <w:sz w:val="22"/>
                <w:szCs w:val="22"/>
              </w:rPr>
              <w:t>5</w:t>
            </w:r>
          </w:p>
        </w:tc>
        <w:tc>
          <w:tcPr>
            <w:tcW w:w="974" w:type="dxa"/>
            <w:shd w:val="clear" w:color="auto" w:fill="auto"/>
          </w:tcPr>
          <w:p w:rsidR="002C69F1" w:rsidRPr="00501EF7" w:rsidRDefault="002C69F1" w:rsidP="002C69F1">
            <w:pPr>
              <w:spacing w:line="276" w:lineRule="auto"/>
              <w:rPr>
                <w:rFonts w:ascii="Trebuchet MS" w:hAnsi="Trebuchet MS"/>
                <w:b/>
                <w:sz w:val="22"/>
                <w:szCs w:val="22"/>
              </w:rPr>
            </w:pP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b/>
                <w:sz w:val="22"/>
                <w:szCs w:val="22"/>
              </w:rPr>
              <w:t>1. Modificări ale veniturilor bugetare, plus/minus, din care: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a) buget de stat, din acesta:</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 impozit pe profit</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(ii) impozit pe venit</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b) bugete locale: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 impozit pe profit</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c) bugetul asigurărilor sociale de stat:</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(i) contribuții de asigurări</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b/>
                <w:sz w:val="22"/>
                <w:szCs w:val="22"/>
              </w:rPr>
              <w:t>2. Modificări ale cheltuielilor bugetare plus/minus, din care: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a) buget de stat, din acesta:</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 cheltuieli de personal</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(ii) bunuri și servicii</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b) bugete locale: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 cheltuieli de personal</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(ii) bunuri și servicii</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sz w:val="22"/>
                <w:szCs w:val="22"/>
              </w:rPr>
              <w:t xml:space="preserve">   </w:t>
            </w:r>
            <w:r w:rsidRPr="00501EF7">
              <w:rPr>
                <w:rFonts w:ascii="Trebuchet MS" w:hAnsi="Trebuchet MS"/>
                <w:i/>
                <w:sz w:val="22"/>
                <w:szCs w:val="22"/>
              </w:rPr>
              <w:t>c) bugetul asigurărilor sociale de stat:</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lastRenderedPageBreak/>
              <w:t xml:space="preserve">   (i) cheltuieli de personal</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   (ii) bunuri și servicii</w:t>
            </w:r>
          </w:p>
        </w:tc>
        <w:tc>
          <w:tcPr>
            <w:tcW w:w="2518"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b/>
                <w:sz w:val="22"/>
                <w:szCs w:val="22"/>
              </w:rPr>
              <w:t>3. Impact financiar, plus/minus, din care:</w:t>
            </w:r>
          </w:p>
        </w:tc>
        <w:tc>
          <w:tcPr>
            <w:tcW w:w="2518" w:type="dxa"/>
            <w:shd w:val="clear" w:color="auto" w:fill="auto"/>
            <w:vAlign w:val="center"/>
          </w:tcPr>
          <w:p w:rsidR="002C69F1" w:rsidRPr="00501EF7" w:rsidRDefault="002C69F1" w:rsidP="002C69F1">
            <w:pPr>
              <w:spacing w:line="276" w:lineRule="auto"/>
              <w:rPr>
                <w:rFonts w:ascii="Trebuchet MS" w:hAnsi="Trebuchet MS"/>
                <w:sz w:val="22"/>
                <w:szCs w:val="22"/>
              </w:rPr>
            </w:pP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 xml:space="preserve">   a) bugetul de stat</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i/>
                <w:sz w:val="22"/>
                <w:szCs w:val="22"/>
              </w:rPr>
            </w:pPr>
            <w:r w:rsidRPr="00501EF7">
              <w:rPr>
                <w:rFonts w:ascii="Trebuchet MS" w:hAnsi="Trebuchet MS"/>
                <w:i/>
                <w:sz w:val="22"/>
                <w:szCs w:val="22"/>
              </w:rPr>
              <w:t xml:space="preserve">   b) bugete locale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b/>
                <w:sz w:val="22"/>
                <w:szCs w:val="22"/>
              </w:rPr>
              <w:t>4. Propuneri pentru acoperirea creșterii cheltuielilor bugetare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b/>
                <w:sz w:val="22"/>
                <w:szCs w:val="22"/>
              </w:rPr>
              <w:t>5. Propuneri pentru a compensa reducerea veniturilor bugetare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b/>
                <w:sz w:val="22"/>
                <w:szCs w:val="22"/>
              </w:rPr>
              <w:t>6. Calcule detaliate privind fundamentarea modificărilor veniturilor și/sau cheltuielilor bugetare</w:t>
            </w:r>
          </w:p>
        </w:tc>
        <w:tc>
          <w:tcPr>
            <w:tcW w:w="2518"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104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2"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c>
          <w:tcPr>
            <w:tcW w:w="974" w:type="dxa"/>
            <w:shd w:val="clear" w:color="auto" w:fill="auto"/>
            <w:vAlign w:val="center"/>
          </w:tcPr>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sz w:val="22"/>
                <w:szCs w:val="22"/>
              </w:rPr>
              <w: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jc w:val="both"/>
              <w:rPr>
                <w:rFonts w:ascii="Trebuchet MS" w:hAnsi="Trebuchet MS"/>
                <w:b/>
                <w:sz w:val="22"/>
                <w:szCs w:val="22"/>
              </w:rPr>
            </w:pPr>
            <w:r w:rsidRPr="00501EF7">
              <w:rPr>
                <w:rFonts w:ascii="Trebuchet MS" w:hAnsi="Trebuchet MS"/>
                <w:b/>
                <w:sz w:val="22"/>
                <w:szCs w:val="22"/>
              </w:rPr>
              <w:t>7. Alte informații</w:t>
            </w:r>
          </w:p>
        </w:tc>
        <w:tc>
          <w:tcPr>
            <w:tcW w:w="7452" w:type="dxa"/>
            <w:gridSpan w:val="6"/>
            <w:tcBorders>
              <w:bottom w:val="single" w:sz="4" w:space="0" w:color="auto"/>
            </w:tcBorders>
            <w:shd w:val="clear" w:color="auto" w:fill="auto"/>
            <w:vAlign w:val="center"/>
          </w:tcPr>
          <w:p w:rsidR="002C69F1" w:rsidRPr="00501EF7" w:rsidRDefault="002C69F1" w:rsidP="002C69F1">
            <w:pPr>
              <w:pStyle w:val="Normal1"/>
              <w:spacing w:line="276" w:lineRule="auto"/>
              <w:contextualSpacing w:val="0"/>
              <w:jc w:val="both"/>
              <w:rPr>
                <w:rFonts w:ascii="Trebuchet MS" w:hAnsi="Trebuchet MS"/>
                <w:color w:val="auto"/>
                <w:sz w:val="22"/>
              </w:rPr>
            </w:pPr>
            <w:r w:rsidRPr="00501EF7">
              <w:rPr>
                <w:rFonts w:ascii="Trebuchet MS" w:hAnsi="Trebuchet MS"/>
                <w:color w:val="auto"/>
                <w:sz w:val="22"/>
              </w:rPr>
              <w:t>Nu au fost identificate.</w:t>
            </w:r>
          </w:p>
        </w:tc>
      </w:tr>
      <w:tr w:rsidR="002C69F1" w:rsidRPr="00501EF7" w:rsidTr="00292E7A">
        <w:tc>
          <w:tcPr>
            <w:tcW w:w="9828" w:type="dxa"/>
            <w:gridSpan w:val="8"/>
            <w:tcBorders>
              <w:bottom w:val="single" w:sz="4" w:space="0" w:color="auto"/>
            </w:tcBorders>
            <w:shd w:val="clear" w:color="auto" w:fill="auto"/>
          </w:tcPr>
          <w:p w:rsidR="002C69F1" w:rsidRPr="00501EF7" w:rsidRDefault="002C69F1" w:rsidP="002C69F1">
            <w:pPr>
              <w:spacing w:line="276" w:lineRule="auto"/>
              <w:jc w:val="center"/>
              <w:rPr>
                <w:rFonts w:ascii="Trebuchet MS" w:hAnsi="Trebuchet MS"/>
                <w:b/>
                <w:sz w:val="22"/>
                <w:szCs w:val="22"/>
              </w:rPr>
            </w:pP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Secțiunea 5</w:t>
            </w: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Efectele proiectului de act normativ asupra legislației în vigoare</w:t>
            </w:r>
          </w:p>
        </w:tc>
      </w:tr>
      <w:tr w:rsidR="002C69F1" w:rsidRPr="00501EF7" w:rsidTr="00292E7A">
        <w:trPr>
          <w:trHeight w:val="620"/>
        </w:trPr>
        <w:tc>
          <w:tcPr>
            <w:tcW w:w="2376" w:type="dxa"/>
            <w:gridSpan w:val="2"/>
            <w:tcBorders>
              <w:top w:val="single" w:sz="4" w:space="0" w:color="auto"/>
            </w:tcBorders>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1. Măsuri normative necesare pentru aplicarea prevederilor proiectului de act normativ:</w:t>
            </w:r>
          </w:p>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a) acte normative în vigoare ce vor fi modificate sau abrogate, ca urmare a intrării în vigoare a proiectului de act normativ;</w:t>
            </w: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b) acte normative ce urmează a fi elaborate în vederea </w:t>
            </w:r>
            <w:r w:rsidRPr="00501EF7">
              <w:rPr>
                <w:rFonts w:ascii="Trebuchet MS" w:hAnsi="Trebuchet MS"/>
                <w:sz w:val="22"/>
                <w:szCs w:val="22"/>
              </w:rPr>
              <w:lastRenderedPageBreak/>
              <w:t>implementării noilor dispoziții.</w:t>
            </w:r>
          </w:p>
        </w:tc>
        <w:tc>
          <w:tcPr>
            <w:tcW w:w="7452" w:type="dxa"/>
            <w:gridSpan w:val="6"/>
            <w:tcBorders>
              <w:top w:val="single" w:sz="4" w:space="0" w:color="auto"/>
            </w:tcBorders>
            <w:shd w:val="clear" w:color="auto" w:fill="auto"/>
          </w:tcPr>
          <w:p w:rsidR="002C69F1" w:rsidRPr="00501EF7" w:rsidRDefault="003A1F67" w:rsidP="002C69F1">
            <w:pPr>
              <w:pStyle w:val="CommentText"/>
              <w:rPr>
                <w:rFonts w:ascii="Trebuchet MS" w:hAnsi="Trebuchet MS"/>
                <w:sz w:val="22"/>
                <w:szCs w:val="22"/>
              </w:rPr>
            </w:pPr>
            <w:r w:rsidRPr="00501EF7">
              <w:rPr>
                <w:rFonts w:ascii="Trebuchet MS" w:hAnsi="Trebuchet MS"/>
                <w:sz w:val="22"/>
                <w:szCs w:val="22"/>
              </w:rPr>
              <w:lastRenderedPageBreak/>
              <w:t>Proiectul de act normativ nu se referă la acest subiect.</w:t>
            </w:r>
          </w:p>
          <w:p w:rsidR="002C69F1" w:rsidRPr="00501EF7" w:rsidRDefault="002C69F1" w:rsidP="002C69F1">
            <w:pPr>
              <w:pStyle w:val="CommentText"/>
              <w:rPr>
                <w:rFonts w:ascii="Trebuchet MS" w:hAnsi="Trebuchet MS"/>
                <w:sz w:val="22"/>
                <w:szCs w:val="22"/>
              </w:rPr>
            </w:pPr>
          </w:p>
          <w:p w:rsidR="002C69F1" w:rsidRPr="00501EF7" w:rsidRDefault="002C69F1" w:rsidP="002C69F1">
            <w:pPr>
              <w:pStyle w:val="CommentText"/>
              <w:rPr>
                <w:rFonts w:ascii="Trebuchet MS" w:hAnsi="Trebuchet MS"/>
                <w:sz w:val="22"/>
                <w:szCs w:val="22"/>
              </w:rPr>
            </w:pPr>
          </w:p>
        </w:tc>
      </w:tr>
      <w:tr w:rsidR="001A0DE6" w:rsidRPr="00501EF7" w:rsidTr="00292E7A">
        <w:tc>
          <w:tcPr>
            <w:tcW w:w="2376" w:type="dxa"/>
            <w:gridSpan w:val="2"/>
            <w:shd w:val="clear" w:color="auto" w:fill="auto"/>
          </w:tcPr>
          <w:p w:rsidR="001A0DE6" w:rsidRPr="001A0DE6" w:rsidRDefault="001A0DE6" w:rsidP="002C69F1">
            <w:pPr>
              <w:spacing w:line="276" w:lineRule="auto"/>
              <w:rPr>
                <w:rFonts w:ascii="Trebuchet MS" w:hAnsi="Trebuchet MS"/>
                <w:sz w:val="22"/>
                <w:szCs w:val="22"/>
              </w:rPr>
            </w:pPr>
            <w:r>
              <w:rPr>
                <w:rFonts w:ascii="Trebuchet MS" w:hAnsi="Trebuchet MS"/>
                <w:sz w:val="22"/>
                <w:szCs w:val="22"/>
              </w:rPr>
              <w:t>1</w:t>
            </w:r>
            <w:r>
              <w:rPr>
                <w:rFonts w:ascii="Trebuchet MS" w:hAnsi="Trebuchet MS"/>
                <w:sz w:val="22"/>
                <w:szCs w:val="22"/>
                <w:vertAlign w:val="superscript"/>
              </w:rPr>
              <w:t xml:space="preserve">1 </w:t>
            </w:r>
            <w:r>
              <w:rPr>
                <w:rFonts w:ascii="Trebuchet MS" w:hAnsi="Trebuchet MS"/>
                <w:sz w:val="22"/>
                <w:szCs w:val="22"/>
              </w:rPr>
              <w:t xml:space="preserve">Compatibilitatea proiectului de act normativ cu legislația în domeniul achizițiilor publice </w:t>
            </w:r>
          </w:p>
        </w:tc>
        <w:tc>
          <w:tcPr>
            <w:tcW w:w="7452" w:type="dxa"/>
            <w:gridSpan w:val="6"/>
            <w:shd w:val="clear" w:color="auto" w:fill="auto"/>
          </w:tcPr>
          <w:p w:rsidR="001A0DE6" w:rsidRPr="00501EF7" w:rsidRDefault="001A0DE6" w:rsidP="002C69F1">
            <w:pPr>
              <w:spacing w:line="276" w:lineRule="auto"/>
              <w:jc w:val="both"/>
              <w:rPr>
                <w:rFonts w:ascii="Trebuchet MS" w:hAnsi="Trebuchet MS"/>
                <w:sz w:val="22"/>
                <w:szCs w:val="22"/>
              </w:rPr>
            </w:pPr>
            <w:r w:rsidRPr="001A0DE6">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2. Conformitatea proiectului de act normativ cu legislația comunitară în cazul proiectelor care transpun prevederi comunitare </w:t>
            </w:r>
          </w:p>
        </w:tc>
        <w:tc>
          <w:tcPr>
            <w:tcW w:w="7452" w:type="dxa"/>
            <w:gridSpan w:val="6"/>
            <w:shd w:val="clear" w:color="auto" w:fill="auto"/>
          </w:tcPr>
          <w:p w:rsidR="002C69F1" w:rsidRPr="00501EF7" w:rsidRDefault="002C69F1" w:rsidP="002C69F1">
            <w:pPr>
              <w:spacing w:line="276" w:lineRule="auto"/>
              <w:jc w:val="both"/>
              <w:rPr>
                <w:rFonts w:ascii="Trebuchet MS" w:hAnsi="Trebuchet MS"/>
                <w:b/>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3. Măsuri normative necesare aplicării directe a actelor normative comunitare</w:t>
            </w:r>
          </w:p>
        </w:tc>
        <w:tc>
          <w:tcPr>
            <w:tcW w:w="7452" w:type="dxa"/>
            <w:gridSpan w:val="6"/>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4. Hotărâri ale Curții de Justiție a Uniunii Europene</w:t>
            </w:r>
          </w:p>
        </w:tc>
        <w:tc>
          <w:tcPr>
            <w:tcW w:w="7452" w:type="dxa"/>
            <w:gridSpan w:val="6"/>
            <w:shd w:val="clear" w:color="auto" w:fill="auto"/>
          </w:tcPr>
          <w:p w:rsidR="002C69F1" w:rsidRPr="00501EF7" w:rsidRDefault="002C69F1" w:rsidP="002C69F1">
            <w:pPr>
              <w:spacing w:line="276" w:lineRule="auto"/>
              <w:rPr>
                <w:rFonts w:ascii="Trebuchet MS" w:hAnsi="Trebuchet MS"/>
                <w:b/>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5. Alte acte normative și/sau documente internaționale din care decurg angajamente</w:t>
            </w:r>
          </w:p>
        </w:tc>
        <w:tc>
          <w:tcPr>
            <w:tcW w:w="7452" w:type="dxa"/>
            <w:gridSpan w:val="6"/>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6. Alte informații</w:t>
            </w:r>
          </w:p>
        </w:tc>
        <w:tc>
          <w:tcPr>
            <w:tcW w:w="7452" w:type="dxa"/>
            <w:gridSpan w:val="6"/>
            <w:tcBorders>
              <w:bottom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Nu au fost identificate.</w:t>
            </w:r>
          </w:p>
        </w:tc>
      </w:tr>
      <w:tr w:rsidR="002C69F1" w:rsidRPr="00501EF7" w:rsidTr="00292E7A">
        <w:tc>
          <w:tcPr>
            <w:tcW w:w="9828" w:type="dxa"/>
            <w:gridSpan w:val="8"/>
            <w:tcBorders>
              <w:top w:val="single" w:sz="4" w:space="0" w:color="auto"/>
              <w:left w:val="single" w:sz="4" w:space="0" w:color="auto"/>
              <w:bottom w:val="single" w:sz="4" w:space="0" w:color="auto"/>
              <w:right w:val="single" w:sz="4" w:space="0" w:color="auto"/>
            </w:tcBorders>
            <w:shd w:val="clear" w:color="auto" w:fill="auto"/>
          </w:tcPr>
          <w:p w:rsidR="002C69F1" w:rsidRPr="00501EF7" w:rsidRDefault="002C69F1" w:rsidP="002C69F1">
            <w:pPr>
              <w:spacing w:line="276" w:lineRule="auto"/>
              <w:jc w:val="center"/>
              <w:rPr>
                <w:rFonts w:ascii="Trebuchet MS" w:hAnsi="Trebuchet MS"/>
                <w:b/>
                <w:sz w:val="22"/>
                <w:szCs w:val="22"/>
              </w:rPr>
            </w:pP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Secțiunea 6</w:t>
            </w:r>
          </w:p>
          <w:p w:rsidR="002C69F1" w:rsidRPr="00501EF7" w:rsidRDefault="002C69F1" w:rsidP="002C69F1">
            <w:pPr>
              <w:spacing w:line="276" w:lineRule="auto"/>
              <w:jc w:val="center"/>
              <w:rPr>
                <w:rFonts w:ascii="Trebuchet MS" w:hAnsi="Trebuchet MS"/>
                <w:sz w:val="22"/>
                <w:szCs w:val="22"/>
              </w:rPr>
            </w:pPr>
            <w:r w:rsidRPr="00501EF7">
              <w:rPr>
                <w:rFonts w:ascii="Trebuchet MS" w:hAnsi="Trebuchet MS"/>
                <w:b/>
                <w:sz w:val="22"/>
                <w:szCs w:val="22"/>
              </w:rPr>
              <w:t>Consultările efectuate în vederea elaborării proiectului de act normativ</w:t>
            </w:r>
          </w:p>
        </w:tc>
      </w:tr>
      <w:tr w:rsidR="002C69F1" w:rsidRPr="00501EF7" w:rsidTr="00292E7A">
        <w:tc>
          <w:tcPr>
            <w:tcW w:w="2376" w:type="dxa"/>
            <w:gridSpan w:val="2"/>
            <w:tcBorders>
              <w:top w:val="single" w:sz="4" w:space="0" w:color="auto"/>
            </w:tcBorders>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 xml:space="preserve">1. Informații privind procesul de consultare cu organizații neguvernamentale, institute de cercetare și alte organisme implicate </w:t>
            </w:r>
          </w:p>
        </w:tc>
        <w:tc>
          <w:tcPr>
            <w:tcW w:w="7452" w:type="dxa"/>
            <w:gridSpan w:val="6"/>
            <w:tcBorders>
              <w:top w:val="single" w:sz="4" w:space="0" w:color="auto"/>
            </w:tcBorders>
            <w:shd w:val="clear" w:color="auto" w:fill="auto"/>
            <w:vAlign w:val="center"/>
          </w:tcPr>
          <w:p w:rsidR="002C69F1" w:rsidRPr="00501EF7" w:rsidRDefault="002C69F1" w:rsidP="002C69F1">
            <w:pPr>
              <w:spacing w:line="276" w:lineRule="auto"/>
              <w:jc w:val="center"/>
              <w:rPr>
                <w:rFonts w:ascii="Trebuchet MS" w:hAnsi="Trebuchet MS"/>
                <w:sz w:val="22"/>
                <w:szCs w:val="22"/>
              </w:rPr>
            </w:pP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 xml:space="preserve">2. Fundamentarea alegerii organizațiilor cu care a avut loc consultarea, precum şi a modului în care </w:t>
            </w:r>
            <w:r w:rsidRPr="00501EF7">
              <w:rPr>
                <w:rFonts w:ascii="Trebuchet MS" w:hAnsi="Trebuchet MS"/>
                <w:sz w:val="22"/>
                <w:szCs w:val="22"/>
              </w:rPr>
              <w:lastRenderedPageBreak/>
              <w:t>activitatea acestor organizații este legată de obiectul proiectului de act normativ</w:t>
            </w:r>
          </w:p>
        </w:tc>
        <w:tc>
          <w:tcPr>
            <w:tcW w:w="7452" w:type="dxa"/>
            <w:gridSpan w:val="6"/>
            <w:shd w:val="clear" w:color="auto" w:fill="auto"/>
            <w:vAlign w:val="center"/>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b/>
                <w:sz w:val="22"/>
                <w:szCs w:val="22"/>
              </w:rPr>
              <w:lastRenderedPageBreak/>
              <w:t xml:space="preserve">   </w:t>
            </w:r>
            <w:r w:rsidRPr="00501EF7">
              <w:rPr>
                <w:rFonts w:ascii="Trebuchet MS" w:hAnsi="Trebuchet MS"/>
                <w:sz w:val="22"/>
                <w:szCs w:val="22"/>
              </w:rPr>
              <w:t xml:space="preserve"> </w:t>
            </w:r>
          </w:p>
          <w:p w:rsidR="002C69F1" w:rsidRPr="00501EF7" w:rsidRDefault="002C69F1" w:rsidP="002C69F1">
            <w:pPr>
              <w:spacing w:line="276" w:lineRule="auto"/>
              <w:jc w:val="both"/>
              <w:rPr>
                <w:rFonts w:ascii="Trebuchet MS" w:hAnsi="Trebuchet MS"/>
                <w:sz w:val="22"/>
                <w:szCs w:val="22"/>
              </w:rPr>
            </w:pPr>
          </w:p>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3. Consultările organizate cu autoritățile administrației publice locale, în situația în care  proiectul de act normativ are ca obiect activități ale acestor autorități, în condițiile Hotărârii Guvernului nr. 521/2005 privind procedura de consultare a structurilor asociative ale autorităților administrației publice locale la elaborarea proiectelor de acte normative</w:t>
            </w:r>
          </w:p>
        </w:tc>
        <w:tc>
          <w:tcPr>
            <w:tcW w:w="7452" w:type="dxa"/>
            <w:gridSpan w:val="6"/>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autorităților administrației publice locale la elaborarea proiectelor de acte normative.</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4. Consultările desfășurate în cadrul consiliilor interministeriale, în conformitate cu prevederile Hotărârii Guvernului nr. 750 / 2005 privind constituirea consiliilor interministeriale permanente</w:t>
            </w:r>
          </w:p>
        </w:tc>
        <w:tc>
          <w:tcPr>
            <w:tcW w:w="7452" w:type="dxa"/>
            <w:gridSpan w:val="6"/>
            <w:shd w:val="clear" w:color="auto" w:fill="auto"/>
            <w:vAlign w:val="center"/>
          </w:tcPr>
          <w:p w:rsidR="002C69F1" w:rsidRPr="00501EF7" w:rsidRDefault="002C69F1" w:rsidP="002C69F1">
            <w:pPr>
              <w:spacing w:line="276" w:lineRule="auto"/>
              <w:rPr>
                <w:rFonts w:ascii="Trebuchet MS" w:hAnsi="Trebuchet MS"/>
                <w:b/>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5. Informații privind avizarea de către:</w:t>
            </w: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a) Consiliul Legislativ</w:t>
            </w: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b) Consiliul Suprem de Apărare a Țării</w:t>
            </w: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lastRenderedPageBreak/>
              <w:t>c) Consiliul Economic şi Social</w:t>
            </w: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d) Consiliul Concurenței</w:t>
            </w:r>
          </w:p>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e) Curtea de Conturi</w:t>
            </w:r>
          </w:p>
        </w:tc>
        <w:tc>
          <w:tcPr>
            <w:tcW w:w="7452" w:type="dxa"/>
            <w:gridSpan w:val="6"/>
            <w:shd w:val="clear" w:color="auto" w:fill="auto"/>
            <w:vAlign w:val="center"/>
          </w:tcPr>
          <w:p w:rsidR="002C69F1" w:rsidRPr="00501EF7" w:rsidRDefault="00FD3005" w:rsidP="002C69F1">
            <w:pPr>
              <w:spacing w:line="276" w:lineRule="auto"/>
              <w:rPr>
                <w:rFonts w:ascii="Trebuchet MS" w:hAnsi="Trebuchet MS"/>
                <w:sz w:val="22"/>
                <w:szCs w:val="22"/>
              </w:rPr>
            </w:pPr>
            <w:r w:rsidRPr="00FD3005">
              <w:rPr>
                <w:rFonts w:ascii="Trebuchet MS" w:hAnsi="Trebuchet MS"/>
                <w:sz w:val="22"/>
                <w:szCs w:val="22"/>
              </w:rPr>
              <w:lastRenderedPageBreak/>
              <w:t>Proiectul de act normativ a fost avizat de Consiliul Legislativ şi s-a solicitat punct de vedere de la  Curtea de Conturi, Aut</w:t>
            </w:r>
            <w:r>
              <w:rPr>
                <w:rFonts w:ascii="Trebuchet MS" w:hAnsi="Trebuchet MS"/>
                <w:sz w:val="22"/>
                <w:szCs w:val="22"/>
              </w:rPr>
              <w:t>oritatea de Audit și Consiliul</w:t>
            </w:r>
            <w:r w:rsidRPr="00FD3005">
              <w:rPr>
                <w:rFonts w:ascii="Trebuchet MS" w:hAnsi="Trebuchet MS"/>
                <w:sz w:val="22"/>
                <w:szCs w:val="22"/>
              </w:rPr>
              <w:t xml:space="preserve"> Concurenţei.</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6. Alte informații</w:t>
            </w:r>
          </w:p>
        </w:tc>
        <w:tc>
          <w:tcPr>
            <w:tcW w:w="7452" w:type="dxa"/>
            <w:gridSpan w:val="6"/>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Nu au fost identificate.</w:t>
            </w:r>
          </w:p>
        </w:tc>
      </w:tr>
      <w:tr w:rsidR="002C69F1" w:rsidRPr="00501EF7" w:rsidTr="00292E7A">
        <w:tc>
          <w:tcPr>
            <w:tcW w:w="9828" w:type="dxa"/>
            <w:gridSpan w:val="8"/>
            <w:shd w:val="clear" w:color="auto" w:fill="auto"/>
          </w:tcPr>
          <w:p w:rsidR="002C69F1" w:rsidRPr="00501EF7" w:rsidRDefault="002C69F1" w:rsidP="002C69F1">
            <w:pPr>
              <w:spacing w:line="276" w:lineRule="auto"/>
              <w:jc w:val="center"/>
              <w:rPr>
                <w:rFonts w:ascii="Trebuchet MS" w:hAnsi="Trebuchet MS"/>
                <w:b/>
                <w:sz w:val="22"/>
                <w:szCs w:val="22"/>
              </w:rPr>
            </w:pP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Secțiunea 7</w:t>
            </w: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Activități de informare publică privind elaborarea și implementarea proiectului de act normativ</w:t>
            </w:r>
          </w:p>
        </w:tc>
      </w:tr>
      <w:tr w:rsidR="002C69F1" w:rsidRPr="00501EF7" w:rsidTr="00292E7A">
        <w:tc>
          <w:tcPr>
            <w:tcW w:w="2376" w:type="dxa"/>
            <w:gridSpan w:val="2"/>
            <w:shd w:val="clear" w:color="auto" w:fill="auto"/>
          </w:tcPr>
          <w:p w:rsidR="002C69F1" w:rsidRPr="00501EF7" w:rsidRDefault="002C69F1" w:rsidP="002C69F1">
            <w:pPr>
              <w:spacing w:line="276" w:lineRule="auto"/>
              <w:jc w:val="both"/>
              <w:rPr>
                <w:rFonts w:ascii="Trebuchet MS" w:hAnsi="Trebuchet MS"/>
                <w:sz w:val="22"/>
                <w:szCs w:val="22"/>
              </w:rPr>
            </w:pPr>
            <w:r w:rsidRPr="00501EF7">
              <w:rPr>
                <w:rFonts w:ascii="Trebuchet MS" w:hAnsi="Trebuchet MS"/>
                <w:sz w:val="22"/>
                <w:szCs w:val="22"/>
              </w:rPr>
              <w:t>1. Informarea societății civile cu privire la necesitatea elaborării proiectului de act normativ</w:t>
            </w:r>
          </w:p>
        </w:tc>
        <w:tc>
          <w:tcPr>
            <w:tcW w:w="7452" w:type="dxa"/>
            <w:gridSpan w:val="6"/>
            <w:shd w:val="clear" w:color="auto" w:fill="auto"/>
            <w:vAlign w:val="center"/>
          </w:tcPr>
          <w:p w:rsidR="002C69F1" w:rsidRPr="00501EF7" w:rsidRDefault="00426E09" w:rsidP="008F5502">
            <w:pPr>
              <w:spacing w:line="276" w:lineRule="auto"/>
              <w:jc w:val="both"/>
              <w:rPr>
                <w:rFonts w:ascii="Trebuchet MS" w:hAnsi="Trebuchet MS"/>
                <w:bCs/>
                <w:sz w:val="22"/>
                <w:szCs w:val="22"/>
                <w:shd w:val="clear" w:color="auto" w:fill="FFFFFF"/>
              </w:rPr>
            </w:pPr>
            <w:r w:rsidRPr="00426E09">
              <w:rPr>
                <w:rFonts w:ascii="Trebuchet MS" w:hAnsi="Trebuchet MS"/>
                <w:sz w:val="22"/>
                <w:szCs w:val="22"/>
              </w:rPr>
              <w:t xml:space="preserve">Prezentul proiect de act normativ respectă prevederile art. 7 alin. (13) din Legea nr. 52/2003 privind transparența decizională în administrația publică, republicată, și a fost publicată în dezbatere publică pe pagina de internet a Ministerului Fondurilor Europene la data de </w:t>
            </w:r>
            <w:r w:rsidR="008F5502">
              <w:rPr>
                <w:rFonts w:ascii="Trebuchet MS" w:hAnsi="Trebuchet MS"/>
                <w:sz w:val="22"/>
                <w:szCs w:val="22"/>
              </w:rPr>
              <w:t>08.07</w:t>
            </w:r>
            <w:r w:rsidRPr="003A1F67">
              <w:rPr>
                <w:rFonts w:ascii="Trebuchet MS" w:hAnsi="Trebuchet MS"/>
                <w:sz w:val="22"/>
                <w:szCs w:val="22"/>
              </w:rPr>
              <w:t>.2020.</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2. Informarea societății civile cu privire la eventualul impact asupra mediului în urma implementării proiectului de act normativ, precum și efectele asupra sănătății și securității cetățenilor sau diversității biologice</w:t>
            </w:r>
          </w:p>
        </w:tc>
        <w:tc>
          <w:tcPr>
            <w:tcW w:w="7452" w:type="dxa"/>
            <w:gridSpan w:val="6"/>
            <w:shd w:val="clear" w:color="auto" w:fill="auto"/>
            <w:vAlign w:val="center"/>
          </w:tcPr>
          <w:p w:rsidR="002C69F1" w:rsidRPr="00501EF7" w:rsidRDefault="002C69F1" w:rsidP="002C69F1">
            <w:pPr>
              <w:spacing w:line="276" w:lineRule="auto"/>
              <w:jc w:val="both"/>
              <w:rPr>
                <w:rFonts w:ascii="Trebuchet MS" w:hAnsi="Trebuchet MS"/>
                <w:b/>
                <w:sz w:val="22"/>
                <w:szCs w:val="22"/>
              </w:rPr>
            </w:pPr>
            <w:r w:rsidRPr="00501EF7">
              <w:rPr>
                <w:rFonts w:ascii="Trebuchet MS" w:hAnsi="Trebuchet MS"/>
                <w:sz w:val="22"/>
                <w:szCs w:val="22"/>
              </w:rPr>
              <w:t>Proiectul de act normativ nu se referă la acest subiect.</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3. Alte informații</w:t>
            </w:r>
          </w:p>
        </w:tc>
        <w:tc>
          <w:tcPr>
            <w:tcW w:w="7452" w:type="dxa"/>
            <w:gridSpan w:val="6"/>
            <w:shd w:val="clear" w:color="auto" w:fill="auto"/>
          </w:tcPr>
          <w:p w:rsidR="002C69F1" w:rsidRPr="00501EF7" w:rsidRDefault="002C69F1" w:rsidP="002C69F1">
            <w:pPr>
              <w:pStyle w:val="BodyText"/>
              <w:spacing w:line="276" w:lineRule="auto"/>
              <w:jc w:val="both"/>
              <w:rPr>
                <w:rFonts w:ascii="Trebuchet MS" w:hAnsi="Trebuchet MS"/>
                <w:sz w:val="22"/>
                <w:szCs w:val="22"/>
                <w:lang w:val="ro-RO"/>
              </w:rPr>
            </w:pPr>
            <w:r w:rsidRPr="00501EF7">
              <w:rPr>
                <w:rFonts w:ascii="Trebuchet MS" w:hAnsi="Trebuchet MS"/>
                <w:sz w:val="22"/>
                <w:szCs w:val="22"/>
                <w:lang w:val="ro-RO"/>
              </w:rPr>
              <w:t>Nu au fost identificate.</w:t>
            </w:r>
          </w:p>
        </w:tc>
      </w:tr>
      <w:tr w:rsidR="002C69F1" w:rsidRPr="00501EF7" w:rsidTr="00292E7A">
        <w:trPr>
          <w:trHeight w:val="575"/>
        </w:trPr>
        <w:tc>
          <w:tcPr>
            <w:tcW w:w="9828" w:type="dxa"/>
            <w:gridSpan w:val="8"/>
            <w:shd w:val="clear" w:color="auto" w:fill="auto"/>
          </w:tcPr>
          <w:p w:rsidR="002C69F1" w:rsidRPr="00501EF7" w:rsidRDefault="002C69F1" w:rsidP="002C69F1">
            <w:pPr>
              <w:spacing w:line="276" w:lineRule="auto"/>
              <w:jc w:val="center"/>
              <w:rPr>
                <w:rFonts w:ascii="Trebuchet MS" w:hAnsi="Trebuchet MS"/>
                <w:b/>
                <w:sz w:val="22"/>
                <w:szCs w:val="22"/>
              </w:rPr>
            </w:pP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Secțiunea 8</w:t>
            </w:r>
          </w:p>
          <w:p w:rsidR="002C69F1" w:rsidRPr="00501EF7" w:rsidRDefault="002C69F1" w:rsidP="002C69F1">
            <w:pPr>
              <w:spacing w:line="276" w:lineRule="auto"/>
              <w:jc w:val="center"/>
              <w:rPr>
                <w:rFonts w:ascii="Trebuchet MS" w:hAnsi="Trebuchet MS"/>
                <w:b/>
                <w:sz w:val="22"/>
                <w:szCs w:val="22"/>
              </w:rPr>
            </w:pPr>
            <w:r w:rsidRPr="00501EF7">
              <w:rPr>
                <w:rFonts w:ascii="Trebuchet MS" w:hAnsi="Trebuchet MS"/>
                <w:b/>
                <w:sz w:val="22"/>
                <w:szCs w:val="22"/>
              </w:rPr>
              <w:t>Măsuri de implementare</w:t>
            </w:r>
          </w:p>
        </w:tc>
      </w:tr>
      <w:tr w:rsidR="002C69F1" w:rsidRPr="00501EF7" w:rsidTr="00292E7A">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1. Măsurile de punere în aplicare a proiectului de act normativ de către autoritățile administrației publice centrale și /sau locale – înființarea unor noi organisme sau extinderea competențelor instituțiilor existente</w:t>
            </w:r>
          </w:p>
        </w:tc>
        <w:tc>
          <w:tcPr>
            <w:tcW w:w="7452" w:type="dxa"/>
            <w:gridSpan w:val="6"/>
            <w:shd w:val="clear" w:color="auto" w:fill="auto"/>
            <w:vAlign w:val="center"/>
          </w:tcPr>
          <w:p w:rsidR="002C69F1" w:rsidRPr="00501EF7" w:rsidRDefault="002C69F1" w:rsidP="00426E09">
            <w:pPr>
              <w:spacing w:line="276" w:lineRule="auto"/>
              <w:jc w:val="both"/>
              <w:rPr>
                <w:rFonts w:ascii="Trebuchet MS" w:hAnsi="Trebuchet MS"/>
                <w:sz w:val="22"/>
                <w:szCs w:val="22"/>
              </w:rPr>
            </w:pPr>
            <w:r w:rsidRPr="00501EF7">
              <w:rPr>
                <w:rFonts w:ascii="Trebuchet MS" w:hAnsi="Trebuchet MS"/>
                <w:sz w:val="22"/>
                <w:szCs w:val="22"/>
              </w:rPr>
              <w:t>Autoritățile responsabile cu implementarea măsurilor cuprinse în proiectul de act normativ sunt, în principal</w:t>
            </w:r>
            <w:r w:rsidR="00426E09">
              <w:rPr>
                <w:rFonts w:ascii="Trebuchet MS" w:hAnsi="Trebuchet MS"/>
                <w:sz w:val="22"/>
                <w:szCs w:val="22"/>
              </w:rPr>
              <w:t>:</w:t>
            </w:r>
            <w:r w:rsidR="00426E09" w:rsidRPr="00501EF7">
              <w:rPr>
                <w:rFonts w:ascii="Trebuchet MS" w:hAnsi="Trebuchet MS"/>
                <w:sz w:val="22"/>
                <w:szCs w:val="22"/>
              </w:rPr>
              <w:t xml:space="preserve"> Ministerul Fondurilor Europene</w:t>
            </w:r>
            <w:r w:rsidR="00426E09">
              <w:rPr>
                <w:rFonts w:ascii="Trebuchet MS" w:hAnsi="Trebuchet MS"/>
                <w:sz w:val="22"/>
                <w:szCs w:val="22"/>
              </w:rPr>
              <w:t>,</w:t>
            </w:r>
            <w:r w:rsidR="00426E09" w:rsidRPr="00501EF7" w:rsidDel="00426E09">
              <w:rPr>
                <w:rFonts w:ascii="Trebuchet MS" w:hAnsi="Trebuchet MS"/>
                <w:sz w:val="22"/>
                <w:szCs w:val="22"/>
              </w:rPr>
              <w:t xml:space="preserve"> </w:t>
            </w:r>
            <w:r w:rsidR="00426E09">
              <w:rPr>
                <w:rFonts w:ascii="Trebuchet MS" w:hAnsi="Trebuchet MS"/>
                <w:sz w:val="22"/>
                <w:szCs w:val="22"/>
              </w:rPr>
              <w:t>A</w:t>
            </w:r>
            <w:r w:rsidR="00AC6BC1">
              <w:rPr>
                <w:rFonts w:ascii="Trebuchet MS" w:hAnsi="Trebuchet MS"/>
                <w:sz w:val="22"/>
                <w:szCs w:val="22"/>
              </w:rPr>
              <w:t xml:space="preserve">gențiile pentru </w:t>
            </w:r>
            <w:r w:rsidR="00426E09">
              <w:rPr>
                <w:rFonts w:ascii="Trebuchet MS" w:hAnsi="Trebuchet MS"/>
                <w:sz w:val="22"/>
                <w:szCs w:val="22"/>
              </w:rPr>
              <w:t>D</w:t>
            </w:r>
            <w:r w:rsidR="00AC6BC1">
              <w:rPr>
                <w:rFonts w:ascii="Trebuchet MS" w:hAnsi="Trebuchet MS"/>
                <w:sz w:val="22"/>
                <w:szCs w:val="22"/>
              </w:rPr>
              <w:t xml:space="preserve">ezvoltare </w:t>
            </w:r>
            <w:r w:rsidR="00426E09">
              <w:rPr>
                <w:rFonts w:ascii="Trebuchet MS" w:hAnsi="Trebuchet MS"/>
                <w:sz w:val="22"/>
                <w:szCs w:val="22"/>
              </w:rPr>
              <w:t>R</w:t>
            </w:r>
            <w:r w:rsidR="00AC6BC1">
              <w:rPr>
                <w:rFonts w:ascii="Trebuchet MS" w:hAnsi="Trebuchet MS"/>
                <w:sz w:val="22"/>
                <w:szCs w:val="22"/>
              </w:rPr>
              <w:t>egională</w:t>
            </w:r>
            <w:r w:rsidRPr="00501EF7">
              <w:rPr>
                <w:rFonts w:ascii="Trebuchet MS" w:hAnsi="Trebuchet MS"/>
                <w:sz w:val="22"/>
                <w:szCs w:val="22"/>
              </w:rPr>
              <w:t xml:space="preserve">, Ministerul Finanțelor Publice și </w:t>
            </w:r>
            <w:r w:rsidR="00426E09">
              <w:rPr>
                <w:rFonts w:ascii="Trebuchet MS" w:hAnsi="Trebuchet MS"/>
                <w:sz w:val="22"/>
                <w:szCs w:val="22"/>
              </w:rPr>
              <w:t>Ministerul Lucrărilor Publice, Administrației și Dezvoltării</w:t>
            </w:r>
            <w:r w:rsidR="00FC0305">
              <w:rPr>
                <w:rFonts w:ascii="Trebuchet MS" w:hAnsi="Trebuchet MS"/>
                <w:sz w:val="22"/>
                <w:szCs w:val="22"/>
              </w:rPr>
              <w:t>.</w:t>
            </w:r>
            <w:r w:rsidRPr="00501EF7">
              <w:rPr>
                <w:rFonts w:ascii="Trebuchet MS" w:hAnsi="Trebuchet MS"/>
                <w:bCs/>
                <w:sz w:val="22"/>
                <w:szCs w:val="22"/>
              </w:rPr>
              <w:t xml:space="preserve"> </w:t>
            </w:r>
            <w:r w:rsidRPr="00501EF7">
              <w:rPr>
                <w:rFonts w:ascii="Trebuchet MS" w:hAnsi="Trebuchet MS"/>
                <w:sz w:val="22"/>
                <w:szCs w:val="22"/>
              </w:rPr>
              <w:t xml:space="preserve">      </w:t>
            </w:r>
          </w:p>
        </w:tc>
      </w:tr>
      <w:tr w:rsidR="002C69F1" w:rsidRPr="00501EF7" w:rsidTr="00292E7A">
        <w:trPr>
          <w:trHeight w:val="422"/>
        </w:trPr>
        <w:tc>
          <w:tcPr>
            <w:tcW w:w="2376" w:type="dxa"/>
            <w:gridSpan w:val="2"/>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lastRenderedPageBreak/>
              <w:t>2. Alte informații</w:t>
            </w:r>
          </w:p>
        </w:tc>
        <w:tc>
          <w:tcPr>
            <w:tcW w:w="7452" w:type="dxa"/>
            <w:gridSpan w:val="6"/>
            <w:shd w:val="clear" w:color="auto" w:fill="auto"/>
          </w:tcPr>
          <w:p w:rsidR="002C69F1" w:rsidRPr="00501EF7" w:rsidRDefault="002C69F1" w:rsidP="002C69F1">
            <w:pPr>
              <w:spacing w:line="276" w:lineRule="auto"/>
              <w:rPr>
                <w:rFonts w:ascii="Trebuchet MS" w:hAnsi="Trebuchet MS"/>
                <w:sz w:val="22"/>
                <w:szCs w:val="22"/>
              </w:rPr>
            </w:pPr>
            <w:r w:rsidRPr="00501EF7">
              <w:rPr>
                <w:rFonts w:ascii="Trebuchet MS" w:hAnsi="Trebuchet MS"/>
                <w:sz w:val="22"/>
                <w:szCs w:val="22"/>
              </w:rPr>
              <w:t>Nu  au fost identificate.</w:t>
            </w:r>
          </w:p>
        </w:tc>
      </w:tr>
    </w:tbl>
    <w:p w:rsidR="00365895" w:rsidRDefault="00365895" w:rsidP="00501EF7">
      <w:pPr>
        <w:jc w:val="both"/>
        <w:rPr>
          <w:rFonts w:ascii="Trebuchet MS" w:hAnsi="Trebuchet MS"/>
          <w:sz w:val="22"/>
          <w:szCs w:val="22"/>
        </w:rPr>
      </w:pPr>
    </w:p>
    <w:p w:rsidR="00426E09" w:rsidRDefault="00426E09">
      <w:pPr>
        <w:rPr>
          <w:rFonts w:ascii="Trebuchet MS" w:hAnsi="Trebuchet MS"/>
          <w:sz w:val="22"/>
          <w:szCs w:val="22"/>
        </w:rPr>
      </w:pPr>
    </w:p>
    <w:p w:rsidR="00501EF7" w:rsidRPr="001F350B" w:rsidRDefault="00365895" w:rsidP="00501EF7">
      <w:pPr>
        <w:jc w:val="both"/>
        <w:rPr>
          <w:rFonts w:ascii="Trebuchet MS" w:eastAsia="Calibri" w:hAnsi="Trebuchet MS"/>
          <w:b/>
          <w:color w:val="000000"/>
        </w:rPr>
      </w:pPr>
      <w:r>
        <w:rPr>
          <w:rFonts w:ascii="Trebuchet MS" w:hAnsi="Trebuchet MS"/>
          <w:sz w:val="22"/>
          <w:szCs w:val="22"/>
        </w:rPr>
        <w:t>Î</w:t>
      </w:r>
      <w:r w:rsidR="00501EF7" w:rsidRPr="00501EF7">
        <w:rPr>
          <w:rFonts w:ascii="Trebuchet MS" w:hAnsi="Trebuchet MS"/>
          <w:sz w:val="22"/>
          <w:szCs w:val="22"/>
        </w:rPr>
        <w:t>n considerarea celor prezentate, a fost elaborat proiectul</w:t>
      </w:r>
      <w:r w:rsidR="00501EF7" w:rsidRPr="00501EF7">
        <w:rPr>
          <w:rFonts w:ascii="Trebuchet MS" w:hAnsi="Trebuchet MS"/>
          <w:i/>
          <w:sz w:val="22"/>
          <w:szCs w:val="22"/>
        </w:rPr>
        <w:t xml:space="preserve"> </w:t>
      </w:r>
      <w:r w:rsidR="00501EF7" w:rsidRPr="00501EF7">
        <w:rPr>
          <w:rFonts w:ascii="Trebuchet MS" w:hAnsi="Trebuchet MS"/>
          <w:sz w:val="22"/>
          <w:szCs w:val="22"/>
        </w:rPr>
        <w:t>de</w:t>
      </w:r>
      <w:r w:rsidR="00501EF7" w:rsidRPr="00501EF7">
        <w:rPr>
          <w:rFonts w:ascii="Trebuchet MS" w:hAnsi="Trebuchet MS"/>
          <w:b/>
          <w:i/>
          <w:sz w:val="22"/>
          <w:szCs w:val="22"/>
        </w:rPr>
        <w:t xml:space="preserve"> </w:t>
      </w:r>
      <w:r w:rsidR="00501EF7" w:rsidRPr="001F350B">
        <w:rPr>
          <w:rFonts w:ascii="Trebuchet MS" w:hAnsi="Trebuchet MS"/>
          <w:b/>
          <w:sz w:val="22"/>
          <w:szCs w:val="22"/>
        </w:rPr>
        <w:t xml:space="preserve">Ordonanță de urgență a  Guvernului </w:t>
      </w:r>
      <w:r w:rsidR="00AC6BC1" w:rsidRPr="00AC6BC1">
        <w:rPr>
          <w:rFonts w:ascii="Trebuchet MS" w:hAnsi="Trebuchet MS"/>
          <w:b/>
          <w:sz w:val="22"/>
          <w:szCs w:val="22"/>
        </w:rPr>
        <w:t>privind unele măsuri pentru asigurarea eficientizării procesului decizional al fondurilor externe nerambursabile destinate dezvoltării regionale în România</w:t>
      </w:r>
      <w:r w:rsidR="00501EF7" w:rsidRPr="00AC6BC1">
        <w:rPr>
          <w:rFonts w:ascii="Trebuchet MS" w:hAnsi="Trebuchet MS"/>
          <w:b/>
          <w:sz w:val="22"/>
          <w:szCs w:val="22"/>
        </w:rPr>
        <w:t>,</w:t>
      </w:r>
      <w:r w:rsidR="00501EF7" w:rsidRPr="00501EF7">
        <w:rPr>
          <w:rFonts w:ascii="Trebuchet MS" w:hAnsi="Trebuchet MS"/>
          <w:b/>
          <w:i/>
          <w:sz w:val="22"/>
          <w:szCs w:val="22"/>
        </w:rPr>
        <w:t xml:space="preserve"> </w:t>
      </w:r>
      <w:r w:rsidR="00501EF7" w:rsidRPr="00501EF7">
        <w:rPr>
          <w:rFonts w:ascii="Trebuchet MS" w:hAnsi="Trebuchet MS"/>
          <w:sz w:val="22"/>
          <w:szCs w:val="22"/>
        </w:rPr>
        <w:t xml:space="preserve">care, în forma prezentată, a fost avizat de Consiliul Legislativ, precum și de ministerele interesate </w:t>
      </w:r>
      <w:r w:rsidR="002C69F1" w:rsidRPr="00501EF7">
        <w:rPr>
          <w:rFonts w:ascii="Trebuchet MS" w:hAnsi="Trebuchet MS"/>
          <w:sz w:val="22"/>
          <w:szCs w:val="22"/>
        </w:rPr>
        <w:t>și</w:t>
      </w:r>
      <w:r w:rsidR="00501EF7" w:rsidRPr="00501EF7">
        <w:rPr>
          <w:rFonts w:ascii="Trebuchet MS" w:hAnsi="Trebuchet MS"/>
          <w:sz w:val="22"/>
          <w:szCs w:val="22"/>
        </w:rPr>
        <w:t xml:space="preserve"> pe care îl supunem adoptării. </w:t>
      </w:r>
    </w:p>
    <w:tbl>
      <w:tblPr>
        <w:tblpPr w:leftFromText="180" w:rightFromText="180" w:vertAnchor="text" w:tblpY="1"/>
        <w:tblOverlap w:val="never"/>
        <w:tblW w:w="9756" w:type="dxa"/>
        <w:tblLook w:val="04A0" w:firstRow="1" w:lastRow="0" w:firstColumn="1" w:lastColumn="0" w:noHBand="0" w:noVBand="1"/>
      </w:tblPr>
      <w:tblGrid>
        <w:gridCol w:w="9756"/>
      </w:tblGrid>
      <w:tr w:rsidR="00501EF7" w:rsidRPr="00501EF7" w:rsidTr="00292E7A">
        <w:tc>
          <w:tcPr>
            <w:tcW w:w="9756" w:type="dxa"/>
          </w:tcPr>
          <w:p w:rsidR="00501EF7" w:rsidRPr="00501EF7" w:rsidRDefault="00501EF7" w:rsidP="00292E7A">
            <w:pPr>
              <w:spacing w:line="276" w:lineRule="auto"/>
              <w:rPr>
                <w:rFonts w:ascii="Trebuchet MS" w:hAnsi="Trebuchet MS"/>
                <w:b/>
                <w:sz w:val="22"/>
                <w:szCs w:val="22"/>
                <w:u w:val="single"/>
              </w:rPr>
            </w:pPr>
          </w:p>
          <w:p w:rsidR="00501EF7" w:rsidRPr="00501EF7" w:rsidRDefault="00501EF7" w:rsidP="00BA0DE8">
            <w:pPr>
              <w:spacing w:line="276" w:lineRule="auto"/>
              <w:rPr>
                <w:rFonts w:ascii="Trebuchet MS" w:hAnsi="Trebuchet MS"/>
                <w:b/>
                <w:sz w:val="22"/>
                <w:szCs w:val="22"/>
              </w:rPr>
            </w:pPr>
          </w:p>
        </w:tc>
      </w:tr>
      <w:tr w:rsidR="00501EF7" w:rsidRPr="00501EF7" w:rsidTr="00292E7A">
        <w:tc>
          <w:tcPr>
            <w:tcW w:w="9756" w:type="dxa"/>
            <w:shd w:val="clear" w:color="auto" w:fill="auto"/>
          </w:tcPr>
          <w:p w:rsidR="00501EF7" w:rsidRPr="00501EF7" w:rsidRDefault="00501EF7" w:rsidP="00292E7A">
            <w:pPr>
              <w:spacing w:line="276" w:lineRule="auto"/>
              <w:jc w:val="center"/>
              <w:rPr>
                <w:rFonts w:ascii="Trebuchet MS" w:hAnsi="Trebuchet MS"/>
                <w:b/>
                <w:sz w:val="22"/>
                <w:szCs w:val="22"/>
              </w:rPr>
            </w:pPr>
            <w:r w:rsidRPr="00501EF7">
              <w:rPr>
                <w:rFonts w:ascii="Trebuchet MS" w:hAnsi="Trebuchet MS"/>
                <w:b/>
                <w:sz w:val="22"/>
                <w:szCs w:val="22"/>
              </w:rPr>
              <w:t xml:space="preserve">  MINISTRUL FONDURILOR EUROPENE</w:t>
            </w:r>
          </w:p>
        </w:tc>
      </w:tr>
      <w:tr w:rsidR="00501EF7" w:rsidRPr="00501EF7" w:rsidTr="00292E7A">
        <w:tc>
          <w:tcPr>
            <w:tcW w:w="9756" w:type="dxa"/>
            <w:shd w:val="clear" w:color="auto" w:fill="auto"/>
          </w:tcPr>
          <w:p w:rsidR="00501EF7" w:rsidRDefault="00501EF7" w:rsidP="00292E7A">
            <w:pPr>
              <w:spacing w:line="276" w:lineRule="auto"/>
              <w:jc w:val="center"/>
              <w:rPr>
                <w:rFonts w:ascii="Trebuchet MS" w:hAnsi="Trebuchet MS"/>
                <w:b/>
                <w:sz w:val="22"/>
                <w:szCs w:val="22"/>
              </w:rPr>
            </w:pPr>
            <w:r w:rsidRPr="00501EF7">
              <w:rPr>
                <w:rFonts w:ascii="Trebuchet MS" w:hAnsi="Trebuchet MS"/>
                <w:b/>
                <w:sz w:val="22"/>
                <w:szCs w:val="22"/>
              </w:rPr>
              <w:t>Ioan Marcel BOLOȘ</w:t>
            </w:r>
          </w:p>
          <w:p w:rsidR="002B02EC" w:rsidRDefault="002B02EC" w:rsidP="00292E7A">
            <w:pPr>
              <w:spacing w:line="276" w:lineRule="auto"/>
              <w:jc w:val="center"/>
              <w:rPr>
                <w:rFonts w:ascii="Trebuchet MS" w:hAnsi="Trebuchet MS"/>
                <w:b/>
                <w:sz w:val="22"/>
                <w:szCs w:val="22"/>
              </w:rPr>
            </w:pPr>
          </w:p>
          <w:p w:rsidR="002B02EC" w:rsidRPr="00501EF7" w:rsidRDefault="002B02EC" w:rsidP="00292E7A">
            <w:pPr>
              <w:spacing w:line="276" w:lineRule="auto"/>
              <w:jc w:val="center"/>
              <w:rPr>
                <w:rFonts w:ascii="Trebuchet MS" w:hAnsi="Trebuchet MS"/>
                <w:b/>
                <w:sz w:val="22"/>
                <w:szCs w:val="22"/>
              </w:rPr>
            </w:pPr>
          </w:p>
        </w:tc>
      </w:tr>
      <w:tr w:rsidR="00501EF7" w:rsidRPr="00501EF7" w:rsidTr="00292E7A">
        <w:tc>
          <w:tcPr>
            <w:tcW w:w="9619" w:type="dxa"/>
            <w:shd w:val="clear" w:color="auto" w:fill="auto"/>
          </w:tcPr>
          <w:p w:rsidR="00501EF7" w:rsidRDefault="00501EF7" w:rsidP="00292E7A">
            <w:pPr>
              <w:spacing w:line="276" w:lineRule="auto"/>
              <w:jc w:val="center"/>
              <w:rPr>
                <w:rFonts w:ascii="Trebuchet MS" w:hAnsi="Trebuchet MS"/>
                <w:b/>
                <w:sz w:val="22"/>
                <w:szCs w:val="22"/>
              </w:rPr>
            </w:pPr>
          </w:p>
          <w:p w:rsidR="00FC0305" w:rsidRPr="00501EF7" w:rsidRDefault="00FC0305" w:rsidP="00292E7A">
            <w:pPr>
              <w:spacing w:line="276" w:lineRule="auto"/>
              <w:jc w:val="center"/>
              <w:rPr>
                <w:rFonts w:ascii="Trebuchet MS" w:hAnsi="Trebuchet MS"/>
                <w:b/>
                <w:sz w:val="22"/>
                <w:szCs w:val="22"/>
              </w:rPr>
            </w:pPr>
          </w:p>
          <w:tbl>
            <w:tblPr>
              <w:tblW w:w="0" w:type="auto"/>
              <w:tblLook w:val="04A0" w:firstRow="1" w:lastRow="0" w:firstColumn="1" w:lastColumn="0" w:noHBand="0" w:noVBand="1"/>
            </w:tblPr>
            <w:tblGrid>
              <w:gridCol w:w="4765"/>
              <w:gridCol w:w="4765"/>
            </w:tblGrid>
            <w:tr w:rsidR="00FC0305" w:rsidTr="002B02EC">
              <w:tc>
                <w:tcPr>
                  <w:tcW w:w="4765" w:type="dxa"/>
                  <w:shd w:val="clear" w:color="auto" w:fill="auto"/>
                </w:tcPr>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MINISTRUL LUCRĂRILOR PUBLICE, DEZVOLTĂRII ȘI ADMINISTRAȚIEI</w:t>
                  </w: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Ion ȘTEFAN</w:t>
                  </w:r>
                </w:p>
              </w:tc>
              <w:tc>
                <w:tcPr>
                  <w:tcW w:w="4765" w:type="dxa"/>
                  <w:shd w:val="clear" w:color="auto" w:fill="auto"/>
                </w:tcPr>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MINISTRUL FINANŢELOR PUBLICE</w:t>
                  </w: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Vasile-Florin CÎȚU</w:t>
                  </w:r>
                </w:p>
              </w:tc>
            </w:tr>
          </w:tbl>
          <w:p w:rsidR="00501EF7" w:rsidRPr="00501EF7" w:rsidRDefault="00501EF7" w:rsidP="00292E7A">
            <w:pPr>
              <w:spacing w:line="276" w:lineRule="auto"/>
              <w:rPr>
                <w:rFonts w:ascii="Trebuchet MS" w:hAnsi="Trebuchet MS"/>
                <w:b/>
                <w:sz w:val="22"/>
                <w:szCs w:val="22"/>
              </w:rPr>
            </w:pPr>
          </w:p>
        </w:tc>
      </w:tr>
      <w:tr w:rsidR="00501EF7" w:rsidRPr="00501EF7" w:rsidTr="00292E7A">
        <w:tc>
          <w:tcPr>
            <w:tcW w:w="9619" w:type="dxa"/>
            <w:shd w:val="clear" w:color="auto" w:fill="auto"/>
          </w:tcPr>
          <w:p w:rsidR="00501EF7" w:rsidRDefault="00501EF7" w:rsidP="00292E7A">
            <w:pPr>
              <w:spacing w:line="276" w:lineRule="auto"/>
              <w:jc w:val="center"/>
              <w:rPr>
                <w:rFonts w:ascii="Trebuchet MS" w:hAnsi="Trebuchet MS"/>
                <w:b/>
                <w:sz w:val="22"/>
                <w:szCs w:val="22"/>
              </w:rPr>
            </w:pPr>
          </w:p>
          <w:p w:rsidR="002B02EC" w:rsidRDefault="002B02EC" w:rsidP="00292E7A">
            <w:pPr>
              <w:spacing w:line="276" w:lineRule="auto"/>
              <w:jc w:val="center"/>
              <w:rPr>
                <w:rFonts w:ascii="Trebuchet MS" w:hAnsi="Trebuchet MS"/>
                <w:b/>
                <w:sz w:val="22"/>
                <w:szCs w:val="22"/>
              </w:rPr>
            </w:pPr>
          </w:p>
          <w:p w:rsidR="002B02EC" w:rsidRPr="00501EF7" w:rsidRDefault="002B02EC" w:rsidP="00292E7A">
            <w:pPr>
              <w:spacing w:line="276" w:lineRule="auto"/>
              <w:jc w:val="center"/>
              <w:rPr>
                <w:rFonts w:ascii="Trebuchet MS" w:hAnsi="Trebuchet MS"/>
                <w:b/>
                <w:sz w:val="22"/>
                <w:szCs w:val="22"/>
              </w:rPr>
            </w:pPr>
          </w:p>
          <w:p w:rsidR="00501EF7" w:rsidRPr="00501EF7" w:rsidRDefault="00501EF7" w:rsidP="00292E7A">
            <w:pPr>
              <w:spacing w:line="276" w:lineRule="auto"/>
              <w:jc w:val="center"/>
              <w:rPr>
                <w:rFonts w:ascii="Trebuchet MS" w:hAnsi="Trebuchet MS"/>
                <w:b/>
                <w:sz w:val="22"/>
                <w:szCs w:val="22"/>
              </w:rPr>
            </w:pPr>
            <w:r w:rsidRPr="00501EF7">
              <w:rPr>
                <w:rFonts w:ascii="Trebuchet MS" w:hAnsi="Trebuchet MS"/>
                <w:b/>
                <w:sz w:val="22"/>
                <w:szCs w:val="22"/>
              </w:rPr>
              <w:t>AVIZĂM FAVORABIL:</w:t>
            </w:r>
          </w:p>
          <w:p w:rsidR="00501EF7" w:rsidRPr="00501EF7" w:rsidRDefault="00501EF7" w:rsidP="00292E7A">
            <w:pPr>
              <w:spacing w:line="276" w:lineRule="auto"/>
              <w:jc w:val="center"/>
              <w:rPr>
                <w:rFonts w:ascii="Trebuchet MS" w:hAnsi="Trebuchet MS"/>
                <w:b/>
                <w:sz w:val="22"/>
                <w:szCs w:val="22"/>
              </w:rPr>
            </w:pPr>
          </w:p>
          <w:p w:rsidR="00501EF7" w:rsidRDefault="00501EF7" w:rsidP="00394060">
            <w:pPr>
              <w:spacing w:line="276" w:lineRule="auto"/>
              <w:rPr>
                <w:rFonts w:ascii="Trebuchet MS" w:hAnsi="Trebuchet MS"/>
                <w:b/>
                <w:sz w:val="22"/>
                <w:szCs w:val="22"/>
              </w:rPr>
            </w:pPr>
          </w:p>
          <w:p w:rsidR="00C35497" w:rsidRDefault="00C35497" w:rsidP="00394060">
            <w:pPr>
              <w:spacing w:line="276" w:lineRule="auto"/>
              <w:rPr>
                <w:rFonts w:ascii="Trebuchet MS" w:hAnsi="Trebuchet MS"/>
                <w:b/>
                <w:sz w:val="22"/>
                <w:szCs w:val="22"/>
              </w:rPr>
            </w:pPr>
          </w:p>
          <w:tbl>
            <w:tblPr>
              <w:tblW w:w="0" w:type="auto"/>
              <w:tblLook w:val="04A0" w:firstRow="1" w:lastRow="0" w:firstColumn="1" w:lastColumn="0" w:noHBand="0" w:noVBand="1"/>
            </w:tblPr>
            <w:tblGrid>
              <w:gridCol w:w="4765"/>
              <w:gridCol w:w="4765"/>
            </w:tblGrid>
            <w:tr w:rsidR="00C35497" w:rsidTr="002B02EC">
              <w:tc>
                <w:tcPr>
                  <w:tcW w:w="4765" w:type="dxa"/>
                  <w:shd w:val="clear" w:color="auto" w:fill="auto"/>
                </w:tcPr>
                <w:p w:rsidR="00C35497" w:rsidRPr="00AF71F2" w:rsidRDefault="00C35497" w:rsidP="00B91594">
                  <w:pPr>
                    <w:framePr w:hSpace="180" w:wrap="around" w:vAnchor="text" w:hAnchor="text" w:y="1"/>
                    <w:spacing w:line="276" w:lineRule="auto"/>
                    <w:suppressOverlap/>
                    <w:jc w:val="center"/>
                    <w:rPr>
                      <w:rFonts w:ascii="Trebuchet MS" w:hAnsi="Trebuchet MS"/>
                      <w:b/>
                      <w:sz w:val="22"/>
                      <w:szCs w:val="22"/>
                      <w:lang w:eastAsia="en-GB"/>
                    </w:rPr>
                  </w:pPr>
                </w:p>
              </w:tc>
              <w:tc>
                <w:tcPr>
                  <w:tcW w:w="4765" w:type="dxa"/>
                  <w:shd w:val="clear" w:color="auto" w:fill="auto"/>
                </w:tcPr>
                <w:p w:rsidR="00C35497" w:rsidRPr="00AF71F2" w:rsidRDefault="00C35497" w:rsidP="00B91594">
                  <w:pPr>
                    <w:framePr w:hSpace="180" w:wrap="around" w:vAnchor="text" w:hAnchor="text" w:y="1"/>
                    <w:spacing w:line="276" w:lineRule="auto"/>
                    <w:suppressOverlap/>
                    <w:jc w:val="center"/>
                    <w:rPr>
                      <w:rFonts w:ascii="Trebuchet MS" w:hAnsi="Trebuchet MS"/>
                      <w:b/>
                      <w:sz w:val="22"/>
                      <w:szCs w:val="22"/>
                      <w:lang w:eastAsia="en-GB"/>
                    </w:rPr>
                  </w:pPr>
                </w:p>
              </w:tc>
            </w:tr>
            <w:tr w:rsidR="00C35497" w:rsidTr="002B02EC">
              <w:tc>
                <w:tcPr>
                  <w:tcW w:w="4765" w:type="dxa"/>
                  <w:shd w:val="clear" w:color="auto" w:fill="auto"/>
                </w:tcPr>
                <w:p w:rsidR="00C35497"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 xml:space="preserve">MINISTRUL AFACERILOR EXTERNE </w:t>
                  </w: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p>
                <w:p w:rsidR="00FC0305" w:rsidRPr="00AF71F2" w:rsidRDefault="00FC0305"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Bogdan Lucian AURESCU</w:t>
                  </w:r>
                </w:p>
              </w:tc>
              <w:tc>
                <w:tcPr>
                  <w:tcW w:w="4765" w:type="dxa"/>
                  <w:shd w:val="clear" w:color="auto" w:fill="auto"/>
                </w:tcPr>
                <w:p w:rsidR="00C35497" w:rsidRPr="00AF71F2" w:rsidRDefault="00C35497"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MINISTRUL JUSTIȚIEI</w:t>
                  </w:r>
                </w:p>
                <w:p w:rsidR="00C35497" w:rsidRPr="00AF71F2" w:rsidRDefault="00C35497" w:rsidP="00B91594">
                  <w:pPr>
                    <w:framePr w:hSpace="180" w:wrap="around" w:vAnchor="text" w:hAnchor="text" w:y="1"/>
                    <w:spacing w:line="276" w:lineRule="auto"/>
                    <w:suppressOverlap/>
                    <w:jc w:val="center"/>
                    <w:rPr>
                      <w:rFonts w:ascii="Trebuchet MS" w:hAnsi="Trebuchet MS"/>
                      <w:b/>
                      <w:sz w:val="22"/>
                      <w:szCs w:val="22"/>
                      <w:lang w:eastAsia="en-GB"/>
                    </w:rPr>
                  </w:pPr>
                </w:p>
                <w:p w:rsidR="00C35497" w:rsidRPr="00AF71F2" w:rsidRDefault="00C35497" w:rsidP="00B91594">
                  <w:pPr>
                    <w:framePr w:hSpace="180" w:wrap="around" w:vAnchor="text" w:hAnchor="text" w:y="1"/>
                    <w:spacing w:line="276" w:lineRule="auto"/>
                    <w:suppressOverlap/>
                    <w:jc w:val="center"/>
                    <w:rPr>
                      <w:rFonts w:ascii="Trebuchet MS" w:hAnsi="Trebuchet MS"/>
                      <w:b/>
                      <w:sz w:val="22"/>
                      <w:szCs w:val="22"/>
                      <w:lang w:eastAsia="en-GB"/>
                    </w:rPr>
                  </w:pPr>
                  <w:r w:rsidRPr="00AF71F2">
                    <w:rPr>
                      <w:rFonts w:ascii="Trebuchet MS" w:hAnsi="Trebuchet MS"/>
                      <w:b/>
                      <w:sz w:val="22"/>
                      <w:szCs w:val="22"/>
                      <w:lang w:eastAsia="en-GB"/>
                    </w:rPr>
                    <w:t>Marian</w:t>
                  </w:r>
                  <w:r w:rsidR="00FC0305" w:rsidRPr="00AF71F2">
                    <w:rPr>
                      <w:sz w:val="20"/>
                      <w:szCs w:val="20"/>
                      <w:lang w:eastAsia="en-GB"/>
                    </w:rPr>
                    <w:t xml:space="preserve"> </w:t>
                  </w:r>
                  <w:r w:rsidR="00FC0305" w:rsidRPr="00AF71F2">
                    <w:rPr>
                      <w:rFonts w:ascii="Trebuchet MS" w:hAnsi="Trebuchet MS"/>
                      <w:b/>
                      <w:sz w:val="22"/>
                      <w:szCs w:val="22"/>
                      <w:lang w:eastAsia="en-GB"/>
                    </w:rPr>
                    <w:t>Cătălin</w:t>
                  </w:r>
                  <w:r w:rsidRPr="00AF71F2">
                    <w:rPr>
                      <w:rFonts w:ascii="Trebuchet MS" w:hAnsi="Trebuchet MS"/>
                      <w:b/>
                      <w:sz w:val="22"/>
                      <w:szCs w:val="22"/>
                      <w:lang w:eastAsia="en-GB"/>
                    </w:rPr>
                    <w:t xml:space="preserve"> PREDOIU</w:t>
                  </w:r>
                </w:p>
              </w:tc>
            </w:tr>
          </w:tbl>
          <w:p w:rsidR="00C35497" w:rsidRDefault="00C35497" w:rsidP="00394060">
            <w:pPr>
              <w:spacing w:line="276" w:lineRule="auto"/>
              <w:rPr>
                <w:rFonts w:ascii="Trebuchet MS" w:hAnsi="Trebuchet MS"/>
                <w:b/>
                <w:sz w:val="22"/>
                <w:szCs w:val="22"/>
              </w:rPr>
            </w:pPr>
          </w:p>
          <w:p w:rsidR="004414E9" w:rsidRDefault="004414E9" w:rsidP="00394060">
            <w:pPr>
              <w:spacing w:line="276" w:lineRule="auto"/>
              <w:rPr>
                <w:rFonts w:ascii="Trebuchet MS" w:hAnsi="Trebuchet MS"/>
                <w:b/>
                <w:sz w:val="22"/>
                <w:szCs w:val="22"/>
              </w:rPr>
            </w:pPr>
          </w:p>
          <w:p w:rsidR="004414E9" w:rsidRDefault="004414E9" w:rsidP="00394060">
            <w:pPr>
              <w:spacing w:line="276" w:lineRule="auto"/>
              <w:rPr>
                <w:rFonts w:ascii="Trebuchet MS" w:hAnsi="Trebuchet MS"/>
                <w:b/>
                <w:sz w:val="22"/>
                <w:szCs w:val="22"/>
              </w:rPr>
            </w:pPr>
          </w:p>
          <w:p w:rsidR="004414E9" w:rsidRPr="00501EF7" w:rsidRDefault="004414E9" w:rsidP="00394060">
            <w:pPr>
              <w:spacing w:line="276" w:lineRule="auto"/>
              <w:rPr>
                <w:rFonts w:ascii="Trebuchet MS" w:hAnsi="Trebuchet MS"/>
                <w:b/>
                <w:sz w:val="22"/>
                <w:szCs w:val="22"/>
              </w:rPr>
            </w:pPr>
          </w:p>
          <w:p w:rsidR="00501EF7" w:rsidRPr="00501EF7" w:rsidRDefault="00501EF7" w:rsidP="00292E7A">
            <w:pPr>
              <w:spacing w:line="276" w:lineRule="auto"/>
              <w:jc w:val="center"/>
              <w:rPr>
                <w:rFonts w:ascii="Trebuchet MS" w:hAnsi="Trebuchet MS"/>
                <w:b/>
                <w:sz w:val="22"/>
                <w:szCs w:val="22"/>
              </w:rPr>
            </w:pPr>
          </w:p>
        </w:tc>
      </w:tr>
    </w:tbl>
    <w:p w:rsidR="00426E09" w:rsidRDefault="00426E09" w:rsidP="00B91594">
      <w:pPr>
        <w:spacing w:line="360" w:lineRule="auto"/>
        <w:rPr>
          <w:rFonts w:ascii="Trebuchet MS" w:eastAsia="Calibri" w:hAnsi="Trebuchet MS"/>
          <w:b/>
          <w:sz w:val="22"/>
          <w:szCs w:val="22"/>
        </w:rPr>
      </w:pPr>
      <w:bookmarkStart w:id="0" w:name="_GoBack"/>
      <w:bookmarkEnd w:id="0"/>
    </w:p>
    <w:sectPr w:rsidR="00426E09" w:rsidSect="00F46C4C">
      <w:footerReference w:type="default" r:id="rId8"/>
      <w:pgSz w:w="12240" w:h="15840"/>
      <w:pgMar w:top="680" w:right="1259" w:bottom="68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F91" w:rsidRDefault="009A0F91" w:rsidP="003B7241">
      <w:r>
        <w:separator/>
      </w:r>
    </w:p>
  </w:endnote>
  <w:endnote w:type="continuationSeparator" w:id="0">
    <w:p w:rsidR="009A0F91" w:rsidRDefault="009A0F91" w:rsidP="003B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35F" w:rsidRDefault="00D8035F">
    <w:pPr>
      <w:pStyle w:val="Footer"/>
      <w:jc w:val="center"/>
    </w:pPr>
    <w:r>
      <w:fldChar w:fldCharType="begin"/>
    </w:r>
    <w:r>
      <w:instrText xml:space="preserve"> PAGE   \* MERGEFORMAT </w:instrText>
    </w:r>
    <w:r>
      <w:fldChar w:fldCharType="separate"/>
    </w:r>
    <w:r w:rsidR="00B91594">
      <w:rPr>
        <w:noProof/>
      </w:rPr>
      <w:t>12</w:t>
    </w:r>
    <w:r>
      <w:rPr>
        <w:noProof/>
      </w:rPr>
      <w:fldChar w:fldCharType="end"/>
    </w:r>
  </w:p>
  <w:p w:rsidR="00D8035F" w:rsidRDefault="00D803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F91" w:rsidRDefault="009A0F91" w:rsidP="003B7241">
      <w:r>
        <w:separator/>
      </w:r>
    </w:p>
  </w:footnote>
  <w:footnote w:type="continuationSeparator" w:id="0">
    <w:p w:rsidR="009A0F91" w:rsidRDefault="009A0F91" w:rsidP="003B72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FECD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267F36"/>
    <w:multiLevelType w:val="hybridMultilevel"/>
    <w:tmpl w:val="0FDCC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022CBC"/>
    <w:multiLevelType w:val="hybridMultilevel"/>
    <w:tmpl w:val="04D231A0"/>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5C5408F"/>
    <w:multiLevelType w:val="hybridMultilevel"/>
    <w:tmpl w:val="E8AEE4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68180D"/>
    <w:multiLevelType w:val="hybridMultilevel"/>
    <w:tmpl w:val="7984191C"/>
    <w:lvl w:ilvl="0" w:tplc="B28C3D64">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15:restartNumberingAfterBreak="0">
    <w:nsid w:val="2B7029B9"/>
    <w:multiLevelType w:val="hybridMultilevel"/>
    <w:tmpl w:val="BC429FF2"/>
    <w:lvl w:ilvl="0" w:tplc="9E46959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349902A9"/>
    <w:multiLevelType w:val="hybridMultilevel"/>
    <w:tmpl w:val="6C42B87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85D0D9F"/>
    <w:multiLevelType w:val="hybridMultilevel"/>
    <w:tmpl w:val="5A26F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400791"/>
    <w:multiLevelType w:val="hybridMultilevel"/>
    <w:tmpl w:val="F4D2B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542014"/>
    <w:multiLevelType w:val="hybridMultilevel"/>
    <w:tmpl w:val="0AC0CD44"/>
    <w:lvl w:ilvl="0" w:tplc="0E5ADCC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32DEB"/>
    <w:multiLevelType w:val="hybridMultilevel"/>
    <w:tmpl w:val="C3868FEC"/>
    <w:lvl w:ilvl="0" w:tplc="BE02D07C">
      <w:start w:val="2"/>
      <w:numFmt w:val="bullet"/>
      <w:lvlText w:val="-"/>
      <w:lvlJc w:val="left"/>
      <w:pPr>
        <w:ind w:left="720" w:hanging="360"/>
      </w:pPr>
      <w:rPr>
        <w:rFonts w:ascii="Trebuchet MS" w:eastAsia="Times New Roman" w:hAnsi="Trebuchet MS"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D7371"/>
    <w:multiLevelType w:val="hybridMultilevel"/>
    <w:tmpl w:val="AB2C542E"/>
    <w:lvl w:ilvl="0" w:tplc="081C8FF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3058A"/>
    <w:multiLevelType w:val="hybridMultilevel"/>
    <w:tmpl w:val="49441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35131"/>
    <w:multiLevelType w:val="hybridMultilevel"/>
    <w:tmpl w:val="06E8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DE4E50"/>
    <w:multiLevelType w:val="hybridMultilevel"/>
    <w:tmpl w:val="39725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C3462A3"/>
    <w:multiLevelType w:val="hybridMultilevel"/>
    <w:tmpl w:val="7AE886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1CD0D58"/>
    <w:multiLevelType w:val="hybridMultilevel"/>
    <w:tmpl w:val="2CB0D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446DEB"/>
    <w:multiLevelType w:val="hybridMultilevel"/>
    <w:tmpl w:val="284A01A2"/>
    <w:lvl w:ilvl="0" w:tplc="5F8E4EF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E66FE2"/>
    <w:multiLevelType w:val="hybridMultilevel"/>
    <w:tmpl w:val="66F09F1C"/>
    <w:lvl w:ilvl="0" w:tplc="6150A83A">
      <w:start w:val="3"/>
      <w:numFmt w:val="bullet"/>
      <w:lvlText w:val="-"/>
      <w:lvlJc w:val="left"/>
      <w:pPr>
        <w:ind w:left="1609" w:hanging="360"/>
      </w:pPr>
      <w:rPr>
        <w:rFonts w:ascii="Arial" w:eastAsia="Times New Roman" w:hAnsi="Arial" w:cs="Arial" w:hint="default"/>
      </w:rPr>
    </w:lvl>
    <w:lvl w:ilvl="1" w:tplc="04090003" w:tentative="1">
      <w:start w:val="1"/>
      <w:numFmt w:val="bullet"/>
      <w:lvlText w:val="o"/>
      <w:lvlJc w:val="left"/>
      <w:pPr>
        <w:ind w:left="2329" w:hanging="360"/>
      </w:pPr>
      <w:rPr>
        <w:rFonts w:ascii="Courier New" w:hAnsi="Courier New" w:cs="Courier New" w:hint="default"/>
      </w:rPr>
    </w:lvl>
    <w:lvl w:ilvl="2" w:tplc="04090005" w:tentative="1">
      <w:start w:val="1"/>
      <w:numFmt w:val="bullet"/>
      <w:lvlText w:val=""/>
      <w:lvlJc w:val="left"/>
      <w:pPr>
        <w:ind w:left="3049" w:hanging="360"/>
      </w:pPr>
      <w:rPr>
        <w:rFonts w:ascii="Wingdings" w:hAnsi="Wingdings" w:hint="default"/>
      </w:rPr>
    </w:lvl>
    <w:lvl w:ilvl="3" w:tplc="04090001" w:tentative="1">
      <w:start w:val="1"/>
      <w:numFmt w:val="bullet"/>
      <w:lvlText w:val=""/>
      <w:lvlJc w:val="left"/>
      <w:pPr>
        <w:ind w:left="3769" w:hanging="360"/>
      </w:pPr>
      <w:rPr>
        <w:rFonts w:ascii="Symbol" w:hAnsi="Symbol" w:hint="default"/>
      </w:rPr>
    </w:lvl>
    <w:lvl w:ilvl="4" w:tplc="04090003" w:tentative="1">
      <w:start w:val="1"/>
      <w:numFmt w:val="bullet"/>
      <w:lvlText w:val="o"/>
      <w:lvlJc w:val="left"/>
      <w:pPr>
        <w:ind w:left="4489" w:hanging="360"/>
      </w:pPr>
      <w:rPr>
        <w:rFonts w:ascii="Courier New" w:hAnsi="Courier New" w:cs="Courier New" w:hint="default"/>
      </w:rPr>
    </w:lvl>
    <w:lvl w:ilvl="5" w:tplc="04090005" w:tentative="1">
      <w:start w:val="1"/>
      <w:numFmt w:val="bullet"/>
      <w:lvlText w:val=""/>
      <w:lvlJc w:val="left"/>
      <w:pPr>
        <w:ind w:left="5209" w:hanging="360"/>
      </w:pPr>
      <w:rPr>
        <w:rFonts w:ascii="Wingdings" w:hAnsi="Wingdings" w:hint="default"/>
      </w:rPr>
    </w:lvl>
    <w:lvl w:ilvl="6" w:tplc="04090001" w:tentative="1">
      <w:start w:val="1"/>
      <w:numFmt w:val="bullet"/>
      <w:lvlText w:val=""/>
      <w:lvlJc w:val="left"/>
      <w:pPr>
        <w:ind w:left="5929" w:hanging="360"/>
      </w:pPr>
      <w:rPr>
        <w:rFonts w:ascii="Symbol" w:hAnsi="Symbol" w:hint="default"/>
      </w:rPr>
    </w:lvl>
    <w:lvl w:ilvl="7" w:tplc="04090003" w:tentative="1">
      <w:start w:val="1"/>
      <w:numFmt w:val="bullet"/>
      <w:lvlText w:val="o"/>
      <w:lvlJc w:val="left"/>
      <w:pPr>
        <w:ind w:left="6649" w:hanging="360"/>
      </w:pPr>
      <w:rPr>
        <w:rFonts w:ascii="Courier New" w:hAnsi="Courier New" w:cs="Courier New" w:hint="default"/>
      </w:rPr>
    </w:lvl>
    <w:lvl w:ilvl="8" w:tplc="04090005" w:tentative="1">
      <w:start w:val="1"/>
      <w:numFmt w:val="bullet"/>
      <w:lvlText w:val=""/>
      <w:lvlJc w:val="left"/>
      <w:pPr>
        <w:ind w:left="7369" w:hanging="360"/>
      </w:pPr>
      <w:rPr>
        <w:rFonts w:ascii="Wingdings" w:hAnsi="Wingdings" w:hint="default"/>
      </w:rPr>
    </w:lvl>
  </w:abstractNum>
  <w:abstractNum w:abstractNumId="1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0" w15:restartNumberingAfterBreak="0">
    <w:nsid w:val="7F3D2237"/>
    <w:multiLevelType w:val="hybridMultilevel"/>
    <w:tmpl w:val="9D12604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8"/>
  </w:num>
  <w:num w:numId="4">
    <w:abstractNumId w:val="12"/>
  </w:num>
  <w:num w:numId="5">
    <w:abstractNumId w:val="20"/>
  </w:num>
  <w:num w:numId="6">
    <w:abstractNumId w:val="14"/>
  </w:num>
  <w:num w:numId="7">
    <w:abstractNumId w:val="3"/>
  </w:num>
  <w:num w:numId="8">
    <w:abstractNumId w:val="15"/>
  </w:num>
  <w:num w:numId="9">
    <w:abstractNumId w:val="6"/>
  </w:num>
  <w:num w:numId="10">
    <w:abstractNumId w:val="18"/>
  </w:num>
  <w:num w:numId="11">
    <w:abstractNumId w:val="19"/>
  </w:num>
  <w:num w:numId="12">
    <w:abstractNumId w:val="9"/>
  </w:num>
  <w:num w:numId="13">
    <w:abstractNumId w:val="17"/>
  </w:num>
  <w:num w:numId="14">
    <w:abstractNumId w:val="2"/>
  </w:num>
  <w:num w:numId="15">
    <w:abstractNumId w:val="7"/>
  </w:num>
  <w:num w:numId="16">
    <w:abstractNumId w:val="11"/>
  </w:num>
  <w:num w:numId="17">
    <w:abstractNumId w:val="10"/>
  </w:num>
  <w:num w:numId="18">
    <w:abstractNumId w:val="5"/>
  </w:num>
  <w:num w:numId="19">
    <w:abstractNumId w:val="4"/>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E65"/>
    <w:rsid w:val="00022F62"/>
    <w:rsid w:val="00081714"/>
    <w:rsid w:val="000B3388"/>
    <w:rsid w:val="000F3A59"/>
    <w:rsid w:val="0012594F"/>
    <w:rsid w:val="001275A6"/>
    <w:rsid w:val="001A0DE6"/>
    <w:rsid w:val="001C1F12"/>
    <w:rsid w:val="001E3656"/>
    <w:rsid w:val="001F350B"/>
    <w:rsid w:val="00200CCC"/>
    <w:rsid w:val="00207C05"/>
    <w:rsid w:val="00292E7A"/>
    <w:rsid w:val="002B02EC"/>
    <w:rsid w:val="002C4800"/>
    <w:rsid w:val="002C69F1"/>
    <w:rsid w:val="002D5F20"/>
    <w:rsid w:val="003127E1"/>
    <w:rsid w:val="0032430D"/>
    <w:rsid w:val="00352885"/>
    <w:rsid w:val="00355C4B"/>
    <w:rsid w:val="00365895"/>
    <w:rsid w:val="003706A5"/>
    <w:rsid w:val="00376AD9"/>
    <w:rsid w:val="00394060"/>
    <w:rsid w:val="003A0026"/>
    <w:rsid w:val="003A1F67"/>
    <w:rsid w:val="003B7241"/>
    <w:rsid w:val="003C408A"/>
    <w:rsid w:val="003D5692"/>
    <w:rsid w:val="003F0D27"/>
    <w:rsid w:val="003F6C1B"/>
    <w:rsid w:val="0040360A"/>
    <w:rsid w:val="00426E09"/>
    <w:rsid w:val="004414E9"/>
    <w:rsid w:val="00442851"/>
    <w:rsid w:val="00481A32"/>
    <w:rsid w:val="004C67BC"/>
    <w:rsid w:val="004E7CE0"/>
    <w:rsid w:val="004F0063"/>
    <w:rsid w:val="004F46B7"/>
    <w:rsid w:val="00501EF7"/>
    <w:rsid w:val="00525DD5"/>
    <w:rsid w:val="00534CEC"/>
    <w:rsid w:val="00564CA2"/>
    <w:rsid w:val="005A7E65"/>
    <w:rsid w:val="005B3947"/>
    <w:rsid w:val="005D15B0"/>
    <w:rsid w:val="005D2DD5"/>
    <w:rsid w:val="005D464E"/>
    <w:rsid w:val="00604A28"/>
    <w:rsid w:val="006342D0"/>
    <w:rsid w:val="006D756D"/>
    <w:rsid w:val="006F2714"/>
    <w:rsid w:val="00721526"/>
    <w:rsid w:val="0073158E"/>
    <w:rsid w:val="007E5EE1"/>
    <w:rsid w:val="007E62A3"/>
    <w:rsid w:val="00832952"/>
    <w:rsid w:val="008452DB"/>
    <w:rsid w:val="00860BBE"/>
    <w:rsid w:val="00883175"/>
    <w:rsid w:val="00884E8A"/>
    <w:rsid w:val="00886E57"/>
    <w:rsid w:val="008A76A2"/>
    <w:rsid w:val="008B1861"/>
    <w:rsid w:val="008C1103"/>
    <w:rsid w:val="008F151F"/>
    <w:rsid w:val="008F5502"/>
    <w:rsid w:val="009368B6"/>
    <w:rsid w:val="00970BD7"/>
    <w:rsid w:val="00980DA7"/>
    <w:rsid w:val="009A0F91"/>
    <w:rsid w:val="009B611F"/>
    <w:rsid w:val="009C0CA8"/>
    <w:rsid w:val="009C3C29"/>
    <w:rsid w:val="009E1314"/>
    <w:rsid w:val="009F604F"/>
    <w:rsid w:val="00A04699"/>
    <w:rsid w:val="00A34D31"/>
    <w:rsid w:val="00A95C8F"/>
    <w:rsid w:val="00AB0D5E"/>
    <w:rsid w:val="00AC6BC1"/>
    <w:rsid w:val="00AC7718"/>
    <w:rsid w:val="00AF71F2"/>
    <w:rsid w:val="00B01562"/>
    <w:rsid w:val="00B23305"/>
    <w:rsid w:val="00B26513"/>
    <w:rsid w:val="00B32548"/>
    <w:rsid w:val="00B81006"/>
    <w:rsid w:val="00B82012"/>
    <w:rsid w:val="00B91594"/>
    <w:rsid w:val="00BA0DE8"/>
    <w:rsid w:val="00BB155F"/>
    <w:rsid w:val="00BF7D50"/>
    <w:rsid w:val="00C07C00"/>
    <w:rsid w:val="00C13902"/>
    <w:rsid w:val="00C35497"/>
    <w:rsid w:val="00C52C37"/>
    <w:rsid w:val="00C667C0"/>
    <w:rsid w:val="00C77FC8"/>
    <w:rsid w:val="00C80207"/>
    <w:rsid w:val="00D0086B"/>
    <w:rsid w:val="00D8035F"/>
    <w:rsid w:val="00DC4F1F"/>
    <w:rsid w:val="00E04DEF"/>
    <w:rsid w:val="00E15411"/>
    <w:rsid w:val="00E23B57"/>
    <w:rsid w:val="00E434DE"/>
    <w:rsid w:val="00E52302"/>
    <w:rsid w:val="00E627CC"/>
    <w:rsid w:val="00E67358"/>
    <w:rsid w:val="00E85C4F"/>
    <w:rsid w:val="00E93A24"/>
    <w:rsid w:val="00ED7B3C"/>
    <w:rsid w:val="00EF79C6"/>
    <w:rsid w:val="00F2400E"/>
    <w:rsid w:val="00F26857"/>
    <w:rsid w:val="00F372A3"/>
    <w:rsid w:val="00F46C4C"/>
    <w:rsid w:val="00F71748"/>
    <w:rsid w:val="00F72940"/>
    <w:rsid w:val="00FB7844"/>
    <w:rsid w:val="00FC0305"/>
    <w:rsid w:val="00FC1EEB"/>
    <w:rsid w:val="00FD3005"/>
    <w:rsid w:val="00FF0BB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A5275FD-FC0C-46F6-B2A5-2C144A73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EF7"/>
    <w:rPr>
      <w:rFonts w:ascii="Times New Roman" w:eastAsia="Times New Roman" w:hAnsi="Times New Roman"/>
      <w:sz w:val="24"/>
      <w:szCs w:val="24"/>
      <w:lang w:eastAsia="en-US"/>
    </w:rPr>
  </w:style>
  <w:style w:type="paragraph" w:styleId="Heading3">
    <w:name w:val="heading 3"/>
    <w:basedOn w:val="Normal"/>
    <w:link w:val="Heading3Char"/>
    <w:uiPriority w:val="9"/>
    <w:qFormat/>
    <w:rsid w:val="00501EF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501EF7"/>
    <w:rPr>
      <w:rFonts w:ascii="Times New Roman" w:eastAsia="Times New Roman" w:hAnsi="Times New Roman" w:cs="Times New Roman"/>
      <w:b/>
      <w:bCs/>
      <w:sz w:val="27"/>
      <w:szCs w:val="27"/>
      <w:lang w:val="ro-RO"/>
    </w:rPr>
  </w:style>
  <w:style w:type="table" w:styleId="TableGrid">
    <w:name w:val="Table Grid"/>
    <w:basedOn w:val="TableNormal"/>
    <w:rsid w:val="00501EF7"/>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acterCaracterCharCharChar">
    <w:name w:val="Char Caracter Caracter Char Char Char"/>
    <w:basedOn w:val="Normal"/>
    <w:rsid w:val="00501EF7"/>
    <w:rPr>
      <w:lang w:val="pl-PL" w:eastAsia="pl-PL"/>
    </w:rPr>
  </w:style>
  <w:style w:type="paragraph" w:customStyle="1" w:styleId="Normal1">
    <w:name w:val="Normal1"/>
    <w:rsid w:val="00501EF7"/>
    <w:pPr>
      <w:widowControl w:val="0"/>
      <w:contextualSpacing/>
    </w:pPr>
    <w:rPr>
      <w:rFonts w:ascii="Times New Roman" w:eastAsia="Times New Roman" w:hAnsi="Times New Roman"/>
      <w:color w:val="000000"/>
      <w:sz w:val="24"/>
      <w:szCs w:val="22"/>
    </w:rPr>
  </w:style>
  <w:style w:type="paragraph" w:styleId="BalloonText">
    <w:name w:val="Balloon Text"/>
    <w:basedOn w:val="Normal"/>
    <w:link w:val="BalloonTextChar"/>
    <w:rsid w:val="00501EF7"/>
    <w:rPr>
      <w:rFonts w:ascii="Tahoma" w:hAnsi="Tahoma"/>
      <w:sz w:val="16"/>
      <w:szCs w:val="16"/>
    </w:rPr>
  </w:style>
  <w:style w:type="character" w:customStyle="1" w:styleId="BalloonTextChar">
    <w:name w:val="Balloon Text Char"/>
    <w:link w:val="BalloonText"/>
    <w:rsid w:val="00501EF7"/>
    <w:rPr>
      <w:rFonts w:ascii="Tahoma" w:eastAsia="Times New Roman" w:hAnsi="Tahoma" w:cs="Times New Roman"/>
      <w:sz w:val="16"/>
      <w:szCs w:val="16"/>
      <w:lang w:val="ro-RO"/>
    </w:rPr>
  </w:style>
  <w:style w:type="paragraph" w:styleId="NormalWeb">
    <w:name w:val="Normal (Web)"/>
    <w:basedOn w:val="Normal"/>
    <w:uiPriority w:val="99"/>
    <w:unhideWhenUsed/>
    <w:rsid w:val="00501EF7"/>
    <w:pPr>
      <w:spacing w:before="100" w:beforeAutospacing="1" w:after="100" w:afterAutospacing="1"/>
    </w:pPr>
    <w:rPr>
      <w:lang w:eastAsia="ro-RO"/>
    </w:rPr>
  </w:style>
  <w:style w:type="character" w:styleId="Strong">
    <w:name w:val="Strong"/>
    <w:uiPriority w:val="22"/>
    <w:qFormat/>
    <w:rsid w:val="00501EF7"/>
    <w:rPr>
      <w:b/>
      <w:bCs/>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501EF7"/>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link w:val="BodyText"/>
    <w:rsid w:val="00501EF7"/>
    <w:rPr>
      <w:rFonts w:ascii="Times New Roman" w:eastAsia="Times New Roman" w:hAnsi="Times New Roman" w:cs="Times New Roman"/>
      <w:lang w:val="x-none" w:eastAsia="x-none"/>
    </w:rPr>
  </w:style>
  <w:style w:type="character" w:styleId="Emphasis">
    <w:name w:val="Emphasis"/>
    <w:qFormat/>
    <w:rsid w:val="00501EF7"/>
    <w:rPr>
      <w:i/>
      <w:iCs/>
    </w:rPr>
  </w:style>
  <w:style w:type="character" w:styleId="HTMLCite">
    <w:name w:val="HTML Cite"/>
    <w:uiPriority w:val="99"/>
    <w:unhideWhenUsed/>
    <w:rsid w:val="00501EF7"/>
    <w:rPr>
      <w:i/>
      <w:iCs/>
    </w:rPr>
  </w:style>
  <w:style w:type="paragraph" w:styleId="BodyTextIndent3">
    <w:name w:val="Body Text Indent 3"/>
    <w:basedOn w:val="Normal"/>
    <w:link w:val="BodyTextIndent3Char"/>
    <w:rsid w:val="00501EF7"/>
    <w:pPr>
      <w:spacing w:after="120"/>
      <w:ind w:left="360"/>
    </w:pPr>
    <w:rPr>
      <w:sz w:val="16"/>
      <w:szCs w:val="16"/>
      <w:lang w:val="x-none" w:eastAsia="x-none"/>
    </w:rPr>
  </w:style>
  <w:style w:type="character" w:customStyle="1" w:styleId="BodyTextIndent3Char">
    <w:name w:val="Body Text Indent 3 Char"/>
    <w:link w:val="BodyTextIndent3"/>
    <w:rsid w:val="00501EF7"/>
    <w:rPr>
      <w:rFonts w:ascii="Times New Roman" w:eastAsia="Times New Roman" w:hAnsi="Times New Roman" w:cs="Times New Roman"/>
      <w:sz w:val="16"/>
      <w:szCs w:val="16"/>
      <w:lang w:val="x-none" w:eastAsia="x-none"/>
    </w:rPr>
  </w:style>
  <w:style w:type="character" w:customStyle="1" w:styleId="do1">
    <w:name w:val="do1"/>
    <w:rsid w:val="00501EF7"/>
    <w:rPr>
      <w:b/>
      <w:bCs/>
      <w:sz w:val="26"/>
      <w:szCs w:val="26"/>
    </w:rPr>
  </w:style>
  <w:style w:type="character" w:styleId="CommentReference">
    <w:name w:val="annotation reference"/>
    <w:rsid w:val="00501EF7"/>
    <w:rPr>
      <w:sz w:val="16"/>
      <w:szCs w:val="16"/>
    </w:rPr>
  </w:style>
  <w:style w:type="paragraph" w:styleId="CommentText">
    <w:name w:val="annotation text"/>
    <w:basedOn w:val="Normal"/>
    <w:link w:val="CommentTextChar"/>
    <w:rsid w:val="00501EF7"/>
    <w:rPr>
      <w:sz w:val="20"/>
      <w:szCs w:val="20"/>
    </w:rPr>
  </w:style>
  <w:style w:type="character" w:customStyle="1" w:styleId="CommentTextChar">
    <w:name w:val="Comment Text Char"/>
    <w:link w:val="CommentText"/>
    <w:rsid w:val="00501EF7"/>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rsid w:val="00501EF7"/>
    <w:rPr>
      <w:b/>
      <w:bCs/>
    </w:rPr>
  </w:style>
  <w:style w:type="character" w:customStyle="1" w:styleId="CommentSubjectChar">
    <w:name w:val="Comment Subject Char"/>
    <w:link w:val="CommentSubject"/>
    <w:rsid w:val="00501EF7"/>
    <w:rPr>
      <w:rFonts w:ascii="Times New Roman" w:eastAsia="Times New Roman" w:hAnsi="Times New Roman" w:cs="Times New Roman"/>
      <w:b/>
      <w:bCs/>
      <w:sz w:val="20"/>
      <w:szCs w:val="20"/>
      <w:lang w:val="ro-RO"/>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uiPriority w:val="99"/>
    <w:rsid w:val="00501EF7"/>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link w:val="FootnoteText"/>
    <w:uiPriority w:val="99"/>
    <w:rsid w:val="00501EF7"/>
    <w:rPr>
      <w:rFonts w:ascii="Times New Roman" w:eastAsia="Times New Roman" w:hAnsi="Times New Roman" w:cs="Times New Roman"/>
      <w:sz w:val="20"/>
      <w:szCs w:val="20"/>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501EF7"/>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uiPriority w:val="99"/>
    <w:rsid w:val="00501EF7"/>
    <w:pPr>
      <w:spacing w:after="160" w:line="240" w:lineRule="exact"/>
    </w:pPr>
    <w:rPr>
      <w:rFonts w:ascii="Calibri" w:eastAsia="Calibri" w:hAnsi="Calibri"/>
      <w:vertAlign w:val="superscript"/>
    </w:rPr>
  </w:style>
  <w:style w:type="paragraph" w:customStyle="1" w:styleId="ListParagraph1">
    <w:name w:val="List Paragraph1"/>
    <w:aliases w:val="Normal bullet 2,List1,body 2,List Paragraph11,Listă colorată - Accentuare 11,Bullet,Citation List,Forth level"/>
    <w:basedOn w:val="Normal"/>
    <w:link w:val="ListParagraphChar"/>
    <w:uiPriority w:val="99"/>
    <w:qFormat/>
    <w:rsid w:val="00501EF7"/>
    <w:pPr>
      <w:spacing w:after="240"/>
      <w:ind w:left="720"/>
      <w:jc w:val="both"/>
    </w:pPr>
    <w:rPr>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1"/>
    <w:uiPriority w:val="99"/>
    <w:locked/>
    <w:rsid w:val="00501EF7"/>
    <w:rPr>
      <w:rFonts w:ascii="Times New Roman" w:eastAsia="Times New Roman" w:hAnsi="Times New Roman" w:cs="Times New Roman"/>
      <w:szCs w:val="20"/>
      <w:lang w:val="ro-RO" w:eastAsia="ro-RO"/>
    </w:rPr>
  </w:style>
  <w:style w:type="paragraph" w:styleId="BodyTextIndent">
    <w:name w:val="Body Text Indent"/>
    <w:basedOn w:val="Normal"/>
    <w:link w:val="BodyTextIndentChar"/>
    <w:rsid w:val="00501EF7"/>
    <w:pPr>
      <w:spacing w:after="120"/>
      <w:ind w:left="360"/>
    </w:pPr>
  </w:style>
  <w:style w:type="character" w:customStyle="1" w:styleId="BodyTextIndentChar">
    <w:name w:val="Body Text Indent Char"/>
    <w:link w:val="BodyTextIndent"/>
    <w:rsid w:val="00501EF7"/>
    <w:rPr>
      <w:rFonts w:ascii="Times New Roman" w:eastAsia="Times New Roman" w:hAnsi="Times New Roman" w:cs="Times New Roman"/>
      <w:lang w:val="ro-RO"/>
    </w:rPr>
  </w:style>
  <w:style w:type="paragraph" w:styleId="Footer">
    <w:name w:val="footer"/>
    <w:basedOn w:val="Normal"/>
    <w:link w:val="FooterChar"/>
    <w:uiPriority w:val="99"/>
    <w:rsid w:val="00501EF7"/>
    <w:pPr>
      <w:tabs>
        <w:tab w:val="center" w:pos="4320"/>
        <w:tab w:val="right" w:pos="8640"/>
      </w:tabs>
      <w:spacing w:after="120" w:line="276" w:lineRule="auto"/>
      <w:ind w:left="1701"/>
      <w:jc w:val="both"/>
    </w:pPr>
    <w:rPr>
      <w:rFonts w:ascii="Cambria" w:eastAsia="MS Mincho" w:hAnsi="Cambria" w:cs="Cambria"/>
    </w:rPr>
  </w:style>
  <w:style w:type="character" w:customStyle="1" w:styleId="FooterChar">
    <w:name w:val="Footer Char"/>
    <w:link w:val="Footer"/>
    <w:uiPriority w:val="99"/>
    <w:rsid w:val="00501EF7"/>
    <w:rPr>
      <w:rFonts w:ascii="Cambria" w:eastAsia="MS Mincho" w:hAnsi="Cambria" w:cs="Cambria"/>
      <w:lang w:val="ro-RO"/>
    </w:rPr>
  </w:style>
  <w:style w:type="paragraph" w:styleId="BodyText2">
    <w:name w:val="Body Text 2"/>
    <w:basedOn w:val="Normal"/>
    <w:link w:val="BodyText2Char"/>
    <w:rsid w:val="00501EF7"/>
    <w:pPr>
      <w:spacing w:after="120" w:line="480" w:lineRule="auto"/>
    </w:pPr>
  </w:style>
  <w:style w:type="character" w:customStyle="1" w:styleId="BodyText2Char">
    <w:name w:val="Body Text 2 Char"/>
    <w:link w:val="BodyText2"/>
    <w:rsid w:val="00501EF7"/>
    <w:rPr>
      <w:rFonts w:ascii="Times New Roman" w:eastAsia="Times New Roman" w:hAnsi="Times New Roman" w:cs="Times New Roman"/>
      <w:lang w:val="ro-RO"/>
    </w:rPr>
  </w:style>
  <w:style w:type="character" w:customStyle="1" w:styleId="LightGrid-Accent3Char">
    <w:name w:val="Light Grid - Accent 3 Char"/>
    <w:link w:val="LightGrid-Accent3"/>
    <w:uiPriority w:val="34"/>
    <w:locked/>
    <w:rsid w:val="00501EF7"/>
    <w:rPr>
      <w:noProof/>
      <w:sz w:val="24"/>
      <w:szCs w:val="24"/>
      <w:lang w:val="ro-RO"/>
    </w:rPr>
  </w:style>
  <w:style w:type="paragraph" w:styleId="Revision">
    <w:name w:val="Revision"/>
    <w:hidden/>
    <w:uiPriority w:val="99"/>
    <w:semiHidden/>
    <w:rsid w:val="00501EF7"/>
    <w:rPr>
      <w:rFonts w:ascii="Times New Roman" w:eastAsia="Times New Roman" w:hAnsi="Times New Roman"/>
      <w:sz w:val="24"/>
      <w:szCs w:val="24"/>
      <w:lang w:val="en-US" w:eastAsia="en-US"/>
    </w:rPr>
  </w:style>
  <w:style w:type="table" w:styleId="LightGrid-Accent3">
    <w:name w:val="Light Grid Accent 3"/>
    <w:basedOn w:val="TableNormal"/>
    <w:link w:val="LightGrid-Accent3Char"/>
    <w:uiPriority w:val="34"/>
    <w:semiHidden/>
    <w:unhideWhenUsed/>
    <w:rsid w:val="00501EF7"/>
    <w:rPr>
      <w:noProof/>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paragraph" w:styleId="Header">
    <w:name w:val="header"/>
    <w:basedOn w:val="Normal"/>
    <w:link w:val="HeaderChar"/>
    <w:uiPriority w:val="99"/>
    <w:unhideWhenUsed/>
    <w:rsid w:val="003B7241"/>
    <w:pPr>
      <w:tabs>
        <w:tab w:val="center" w:pos="4536"/>
        <w:tab w:val="right" w:pos="9072"/>
      </w:tabs>
    </w:pPr>
  </w:style>
  <w:style w:type="character" w:customStyle="1" w:styleId="HeaderChar">
    <w:name w:val="Header Char"/>
    <w:link w:val="Header"/>
    <w:uiPriority w:val="99"/>
    <w:rsid w:val="003B724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92742">
      <w:bodyDiv w:val="1"/>
      <w:marLeft w:val="0"/>
      <w:marRight w:val="0"/>
      <w:marTop w:val="0"/>
      <w:marBottom w:val="0"/>
      <w:divBdr>
        <w:top w:val="none" w:sz="0" w:space="0" w:color="auto"/>
        <w:left w:val="none" w:sz="0" w:space="0" w:color="auto"/>
        <w:bottom w:val="none" w:sz="0" w:space="0" w:color="auto"/>
        <w:right w:val="none" w:sz="0" w:space="0" w:color="auto"/>
      </w:divBdr>
    </w:div>
    <w:div w:id="208525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Users\andra.chirila.INTRANET\AppData\Local\Microsoft\Windows\Temporary%20Internet%20Files\Content.Outlook\OO3LLG6S\8.%20NF%20reavizare%2008.07.2020%20fara%20T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0FA76-6493-4727-A0CB-E1975B23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 NF reavizare 08.07.2020 fara TRK.dot</Template>
  <TotalTime>2</TotalTime>
  <Pages>13</Pages>
  <Words>4076</Words>
  <Characters>23642</Characters>
  <Application>Microsoft Office Word</Application>
  <DocSecurity>0</DocSecurity>
  <Lines>197</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Consuela Stegarescu</cp:lastModifiedBy>
  <cp:revision>4</cp:revision>
  <cp:lastPrinted>2020-07-08T15:04:00Z</cp:lastPrinted>
  <dcterms:created xsi:type="dcterms:W3CDTF">2020-07-08T15:43:00Z</dcterms:created>
  <dcterms:modified xsi:type="dcterms:W3CDTF">2020-07-08T16:00:00Z</dcterms:modified>
</cp:coreProperties>
</file>